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auto"/>
          <w:kern w:val="36"/>
          <w:sz w:val="48"/>
          <w:szCs w:val="48"/>
        </w:rPr>
      </w:pPr>
      <w:r>
        <w:rPr>
          <w:rFonts w:hint="eastAsia" w:ascii="宋体" w:hAnsi="宋体" w:eastAsia="宋体" w:cs="宋体"/>
          <w:b/>
          <w:bCs/>
          <w:color w:val="auto"/>
          <w:kern w:val="36"/>
          <w:sz w:val="48"/>
          <w:szCs w:val="48"/>
        </w:rPr>
        <w:t>政府采购项目采购需求（服务</w:t>
      </w:r>
      <w:r>
        <w:rPr>
          <w:rFonts w:ascii="宋体" w:hAnsi="宋体" w:eastAsia="宋体" w:cs="宋体"/>
          <w:b/>
          <w:bCs/>
          <w:color w:val="auto"/>
          <w:kern w:val="36"/>
          <w:sz w:val="48"/>
          <w:szCs w:val="48"/>
        </w:rPr>
        <w:t>类</w:t>
      </w:r>
      <w:r>
        <w:rPr>
          <w:rFonts w:hint="eastAsia" w:ascii="宋体" w:hAnsi="宋体" w:eastAsia="宋体" w:cs="宋体"/>
          <w:b/>
          <w:bCs/>
          <w:color w:val="auto"/>
          <w:kern w:val="36"/>
          <w:sz w:val="48"/>
          <w:szCs w:val="48"/>
        </w:rPr>
        <w:t>）</w:t>
      </w:r>
    </w:p>
    <w:p>
      <w:pPr>
        <w:widowControl/>
        <w:shd w:val="clear" w:color="auto" w:fill="FFFFFF"/>
        <w:spacing w:line="480" w:lineRule="auto"/>
        <w:jc w:val="right"/>
        <w:outlineLvl w:val="2"/>
        <w:rPr>
          <w:rFonts w:ascii="宋体" w:hAnsi="宋体" w:eastAsia="宋体" w:cs="宋体"/>
          <w:color w:val="auto"/>
          <w:kern w:val="0"/>
          <w:sz w:val="27"/>
          <w:szCs w:val="27"/>
        </w:rPr>
      </w:pPr>
    </w:p>
    <w:p>
      <w:pPr>
        <w:widowControl/>
        <w:shd w:val="clear" w:color="auto" w:fill="FFFFFF"/>
        <w:spacing w:line="480" w:lineRule="auto"/>
        <w:ind w:right="1080"/>
        <w:outlineLvl w:val="2"/>
        <w:rPr>
          <w:rFonts w:ascii="宋体" w:hAnsi="宋体" w:eastAsia="宋体" w:cs="宋体"/>
          <w:color w:val="auto"/>
          <w:kern w:val="0"/>
          <w:sz w:val="27"/>
          <w:szCs w:val="27"/>
        </w:rPr>
      </w:pPr>
      <w:r>
        <w:rPr>
          <w:rFonts w:hint="eastAsia" w:ascii="宋体" w:hAnsi="宋体" w:eastAsia="宋体" w:cs="宋体"/>
          <w:color w:val="auto"/>
          <w:kern w:val="0"/>
          <w:sz w:val="27"/>
          <w:szCs w:val="27"/>
        </w:rPr>
        <w:t>采购单位（盖章）：</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"http://bwc.xhu.edu.cn/" \t "http://www.xhu.edu.cn/7514/_blank"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lang w:eastAsia="zh-CN"/>
        </w:rPr>
        <w:t>保卫部（保卫处）</w:t>
      </w:r>
      <w:r>
        <w:rPr>
          <w:rFonts w:hint="eastAsia" w:ascii="宋体" w:hAnsi="宋体" w:eastAsia="宋体" w:cs="宋体"/>
          <w:color w:val="auto"/>
          <w:kern w:val="0"/>
          <w:sz w:val="24"/>
          <w:szCs w:val="24"/>
        </w:rPr>
        <w:fldChar w:fldCharType="end"/>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一、项目总体情况</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（一）项目名称：西华大学平安西华监控维保服务</w:t>
      </w:r>
    </w:p>
    <w:p>
      <w:pPr>
        <w:widowControl/>
        <w:shd w:val="clear" w:color="auto" w:fill="FFFFFF"/>
        <w:spacing w:line="480" w:lineRule="auto"/>
        <w:ind w:firstLine="42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（二）项目所属年度： 202</w:t>
      </w:r>
      <w:r>
        <w:rPr>
          <w:rFonts w:hint="eastAsia" w:ascii="宋体" w:hAnsi="宋体" w:eastAsia="宋体" w:cs="宋体"/>
          <w:color w:val="auto"/>
          <w:kern w:val="0"/>
          <w:sz w:val="24"/>
          <w:szCs w:val="24"/>
          <w:lang w:val="en-US" w:eastAsia="zh-CN"/>
        </w:rPr>
        <w:t>4</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（三）项目所属分类：</w:t>
      </w:r>
      <w:r>
        <w:rPr>
          <w:rFonts w:hint="eastAsia" w:ascii="宋体" w:hAnsi="宋体" w:eastAsia="宋体" w:cs="宋体"/>
          <w:b w:val="0"/>
          <w:bCs/>
          <w:color w:val="auto"/>
          <w:kern w:val="0"/>
          <w:sz w:val="24"/>
          <w:szCs w:val="24"/>
        </w:rPr>
        <w:t>服务</w:t>
      </w:r>
    </w:p>
    <w:p>
      <w:pPr>
        <w:widowControl/>
        <w:shd w:val="clear" w:color="auto" w:fill="FFFFFF"/>
        <w:spacing w:line="480" w:lineRule="auto"/>
        <w:ind w:firstLine="42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 xml:space="preserve">（四）预算金额（元）： </w:t>
      </w:r>
      <w:r>
        <w:rPr>
          <w:rFonts w:hint="eastAsia" w:ascii="宋体" w:hAnsi="宋体" w:eastAsia="宋体" w:cs="宋体"/>
          <w:color w:val="auto"/>
          <w:kern w:val="0"/>
          <w:sz w:val="24"/>
          <w:szCs w:val="24"/>
          <w:lang w:val="en-US" w:eastAsia="zh-CN"/>
        </w:rPr>
        <w:t>28万</w:t>
      </w:r>
      <w:r>
        <w:rPr>
          <w:rFonts w:hint="eastAsia" w:ascii="宋体" w:hAnsi="宋体" w:eastAsia="宋体" w:cs="宋体"/>
          <w:color w:val="auto"/>
          <w:kern w:val="0"/>
          <w:sz w:val="24"/>
          <w:szCs w:val="24"/>
        </w:rPr>
        <w:t xml:space="preserve">元 ，大写（人民币）： </w:t>
      </w:r>
      <w:r>
        <w:rPr>
          <w:rFonts w:hint="eastAsia" w:ascii="宋体" w:hAnsi="宋体" w:eastAsia="宋体" w:cs="宋体"/>
          <w:color w:val="auto"/>
          <w:kern w:val="0"/>
          <w:sz w:val="24"/>
          <w:szCs w:val="24"/>
          <w:lang w:val="en-US" w:eastAsia="zh-CN"/>
        </w:rPr>
        <w:t>贰拾捌万元</w:t>
      </w:r>
    </w:p>
    <w:p>
      <w:pPr>
        <w:widowControl/>
        <w:shd w:val="clear" w:color="auto" w:fill="FFFFFF"/>
        <w:spacing w:line="480" w:lineRule="auto"/>
        <w:ind w:firstLine="1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最高限价（元）：</w:t>
      </w:r>
      <w:r>
        <w:rPr>
          <w:rFonts w:hint="eastAsia" w:ascii="宋体" w:hAnsi="宋体" w:eastAsia="宋体" w:cs="宋体"/>
          <w:color w:val="auto"/>
          <w:kern w:val="0"/>
          <w:sz w:val="24"/>
          <w:szCs w:val="24"/>
          <w:lang w:val="en-US" w:eastAsia="zh-CN"/>
        </w:rPr>
        <w:t>28万</w:t>
      </w:r>
      <w:r>
        <w:rPr>
          <w:rFonts w:hint="eastAsia" w:ascii="宋体" w:hAnsi="宋体" w:eastAsia="宋体" w:cs="宋体"/>
          <w:color w:val="auto"/>
          <w:kern w:val="0"/>
          <w:sz w:val="24"/>
          <w:szCs w:val="24"/>
        </w:rPr>
        <w:t xml:space="preserve">  元， 大写（人民币）：</w:t>
      </w:r>
      <w:r>
        <w:rPr>
          <w:rFonts w:hint="eastAsia" w:ascii="宋体" w:hAnsi="宋体" w:eastAsia="宋体" w:cs="宋体"/>
          <w:color w:val="auto"/>
          <w:kern w:val="0"/>
          <w:sz w:val="24"/>
          <w:szCs w:val="24"/>
          <w:lang w:val="en-US" w:eastAsia="zh-CN"/>
        </w:rPr>
        <w:t>贰拾捌万元</w:t>
      </w:r>
    </w:p>
    <w:p>
      <w:pPr>
        <w:widowControl/>
        <w:shd w:val="clear" w:color="auto" w:fill="FFFFFF"/>
        <w:spacing w:line="480" w:lineRule="auto"/>
        <w:ind w:firstLine="420"/>
        <w:rPr>
          <w:rFonts w:hint="eastAsia" w:ascii="宋体" w:hAnsi="宋体" w:eastAsia="宋体" w:cs="宋体"/>
          <w:color w:val="auto"/>
          <w:szCs w:val="21"/>
        </w:rPr>
      </w:pPr>
      <w:r>
        <w:rPr>
          <w:rFonts w:hint="eastAsia" w:ascii="宋体" w:hAnsi="宋体" w:eastAsia="宋体" w:cs="宋体"/>
          <w:color w:val="auto"/>
          <w:kern w:val="0"/>
          <w:sz w:val="24"/>
          <w:szCs w:val="24"/>
        </w:rPr>
        <w:t>（五）项目概况：</w:t>
      </w:r>
      <w:r>
        <w:rPr>
          <w:rFonts w:hint="eastAsia" w:ascii="宋体" w:hAnsi="宋体" w:eastAsia="宋体" w:cs="宋体"/>
          <w:color w:val="auto"/>
          <w:szCs w:val="21"/>
        </w:rPr>
        <w:t>完成平安西华校园监控二期监控郫都校区1400余个、彭州校区140余个前后端设备和线路维保，对平安西华指挥平台进行升级更新，保障系统正常运行。</w:t>
      </w:r>
    </w:p>
    <w:p>
      <w:pPr>
        <w:widowControl/>
        <w:shd w:val="clear" w:color="auto" w:fill="FFFFFF"/>
        <w:spacing w:line="480" w:lineRule="auto"/>
        <w:ind w:firstLine="420"/>
        <w:rPr>
          <w:rFonts w:hint="default" w:ascii="宋体" w:hAnsi="宋体" w:eastAsia="宋体" w:cs="宋体"/>
          <w:color w:val="auto"/>
          <w:kern w:val="0"/>
          <w:sz w:val="24"/>
          <w:szCs w:val="24"/>
          <w:lang w:val="en-US" w:eastAsia="zh-CN"/>
        </w:rPr>
      </w:pPr>
      <w:r>
        <w:rPr>
          <w:rFonts w:hint="eastAsia" w:ascii="宋体" w:hAnsi="宋体" w:eastAsia="宋体" w:cs="宋体"/>
          <w:color w:val="auto"/>
          <w:szCs w:val="21"/>
          <w:lang w:val="en-US" w:eastAsia="zh-CN"/>
        </w:rPr>
        <w:t>服务期限：12个月。</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否</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供应商统一社会信用代码：</w:t>
      </w:r>
    </w:p>
    <w:p>
      <w:pPr>
        <w:widowControl/>
        <w:shd w:val="clear" w:color="auto" w:fill="FFFFFF"/>
        <w:spacing w:line="480" w:lineRule="auto"/>
        <w:ind w:firstLine="42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二、项目需求调查情况</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依据《政府采购需求管理办法》的规定，□本项目需要（填以下信息）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不需要  需求调查，具体情况如下：</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·本项目属于以下应当展开需求的情形</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1000万元以上的货物、服务采购项目，3000万元以上的工程采购项目；</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·本项目属于以下可以不再重复开展需求调查的情形</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（一）需求调查方式:</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□咨询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论证  □调查问卷</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（二）需求调查对象:</w:t>
      </w:r>
    </w:p>
    <w:p>
      <w:pPr>
        <w:widowControl/>
        <w:shd w:val="clear" w:color="auto" w:fill="FFFFFF"/>
        <w:spacing w:line="480" w:lineRule="auto"/>
        <w:ind w:firstLine="420"/>
        <w:rPr>
          <w:rFonts w:hint="default" w:ascii="宋体" w:hAnsi="宋体" w:eastAsia="宋体" w:cs="宋体"/>
          <w:color w:val="auto"/>
          <w:kern w:val="0"/>
          <w:sz w:val="24"/>
          <w:szCs w:val="24"/>
          <w:lang w:val="en-US" w:eastAsia="zh-CN"/>
        </w:rPr>
      </w:pP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（三）需求调查结果</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1.相关产业发展情况:</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2.市场供给情况:</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3.同类采购项目历史成交信息情况:</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4.可能涉及的运行维护、升级更新、备品备件、耗材等后续采购情况:</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5.其他相关情况:</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三、项目采购实施计划</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（一）采购组织形式：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政府集中采购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□部门集中采购  □分散采购</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（二）采购方式</w:t>
      </w:r>
      <w:r>
        <w:rPr>
          <w:rFonts w:ascii="宋体" w:hAnsi="宋体" w:eastAsia="宋体" w:cs="宋体"/>
          <w:color w:val="auto"/>
          <w:kern w:val="0"/>
          <w:sz w:val="24"/>
          <w:szCs w:val="24"/>
        </w:rPr>
        <w: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公开招标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邀请</w:t>
      </w:r>
      <w:r>
        <w:rPr>
          <w:rFonts w:ascii="宋体" w:hAnsi="宋体" w:eastAsia="宋体" w:cs="宋体"/>
          <w:color w:val="auto"/>
          <w:kern w:val="0"/>
          <w:sz w:val="24"/>
          <w:szCs w:val="24"/>
        </w:rPr>
        <w:t>招标</w:t>
      </w:r>
      <w:r>
        <w:rPr>
          <w:rFonts w:hint="eastAsia" w:ascii="宋体" w:hAnsi="宋体" w:eastAsia="宋体" w:cs="宋体"/>
          <w:color w:val="auto"/>
          <w:kern w:val="0"/>
          <w:sz w:val="24"/>
          <w:szCs w:val="24"/>
        </w:rPr>
        <w:t xml:space="preserve">  □竞争性谈判  □询价     □单一来源  □竞争性</w:t>
      </w:r>
      <w:r>
        <w:rPr>
          <w:rFonts w:ascii="宋体" w:hAnsi="宋体" w:eastAsia="宋体" w:cs="宋体"/>
          <w:color w:val="auto"/>
          <w:kern w:val="0"/>
          <w:sz w:val="24"/>
          <w:szCs w:val="24"/>
        </w:rPr>
        <w:t>磋商</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（三）本项目是否单位自行组织采购：否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（四）采购包划分</w:t>
      </w:r>
      <w:r>
        <w:rPr>
          <w:rFonts w:hint="eastAsia"/>
          <w:color w:val="auto"/>
        </w:rPr>
        <w:t>：</w:t>
      </w:r>
      <w:r>
        <w:rPr>
          <w:rFonts w:hint="eastAsia"/>
          <w:color w:val="auto"/>
          <w:sz w:val="24"/>
        </w:rPr>
        <w:t>不分包采购</w:t>
      </w:r>
    </w:p>
    <w:p>
      <w:pPr>
        <w:widowControl/>
        <w:shd w:val="clear" w:color="auto" w:fill="FFFFFF"/>
        <w:spacing w:line="480" w:lineRule="auto"/>
        <w:ind w:firstLine="420"/>
        <w:rPr>
          <w:color w:val="auto"/>
          <w:sz w:val="24"/>
        </w:rPr>
      </w:pPr>
      <w:r>
        <w:rPr>
          <w:rFonts w:hint="eastAsia"/>
          <w:color w:val="auto"/>
          <w:sz w:val="24"/>
        </w:rPr>
        <w:t>包</w:t>
      </w:r>
      <w:r>
        <w:rPr>
          <w:color w:val="auto"/>
          <w:sz w:val="24"/>
        </w:rPr>
        <w:t>名称</w:t>
      </w:r>
      <w:r>
        <w:rPr>
          <w:rFonts w:hint="eastAsia"/>
          <w:color w:val="auto"/>
          <w:sz w:val="24"/>
          <w:lang w:val="en-US" w:eastAsia="zh-CN"/>
        </w:rPr>
        <w:t>:</w:t>
      </w:r>
      <w:r>
        <w:rPr>
          <w:b w:val="0"/>
          <w:bCs w:val="0"/>
          <w:color w:val="auto"/>
          <w:sz w:val="24"/>
          <w:u w:val="none"/>
        </w:rPr>
        <w:t xml:space="preserve"> </w:t>
      </w:r>
      <w:r>
        <w:rPr>
          <w:rFonts w:hint="eastAsia" w:ascii="微软雅黑 Light" w:hAnsi="微软雅黑 Light" w:eastAsia="微软雅黑 Light" w:cs="Times New Roman"/>
          <w:b w:val="0"/>
          <w:bCs w:val="0"/>
          <w:color w:val="auto"/>
          <w:sz w:val="24"/>
          <w:szCs w:val="24"/>
          <w:u w:val="none"/>
          <w:lang w:eastAsia="zh-CN"/>
        </w:rPr>
        <w:t>西华大学平安西华监控维保服务</w:t>
      </w:r>
    </w:p>
    <w:p>
      <w:pPr>
        <w:widowControl/>
        <w:shd w:val="clear" w:color="auto" w:fill="FFFFFF"/>
        <w:spacing w:line="480" w:lineRule="auto"/>
        <w:ind w:firstLine="420"/>
        <w:rPr>
          <w:color w:val="auto"/>
          <w:sz w:val="24"/>
        </w:rPr>
      </w:pPr>
      <w:r>
        <w:rPr>
          <w:rFonts w:hint="eastAsia"/>
          <w:color w:val="auto"/>
          <w:sz w:val="24"/>
        </w:rPr>
        <w:t>最高</w:t>
      </w:r>
      <w:r>
        <w:rPr>
          <w:color w:val="auto"/>
          <w:sz w:val="24"/>
        </w:rPr>
        <w:t>限价</w:t>
      </w:r>
      <w:r>
        <w:rPr>
          <w:rFonts w:hint="eastAsia"/>
          <w:color w:val="auto"/>
          <w:sz w:val="24"/>
        </w:rPr>
        <w:t>（元）</w:t>
      </w:r>
      <w:r>
        <w:rPr>
          <w:color w:val="auto"/>
          <w:sz w:val="24"/>
        </w:rPr>
        <w:t>：</w:t>
      </w:r>
      <w:r>
        <w:rPr>
          <w:rFonts w:hint="eastAsia"/>
          <w:color w:val="auto"/>
          <w:sz w:val="24"/>
        </w:rPr>
        <w:t xml:space="preserve">  </w:t>
      </w:r>
      <w:r>
        <w:rPr>
          <w:rFonts w:hint="eastAsia"/>
          <w:color w:val="auto"/>
          <w:sz w:val="24"/>
          <w:lang w:val="en-US" w:eastAsia="zh-CN"/>
        </w:rPr>
        <w:t>280000</w:t>
      </w:r>
      <w:r>
        <w:rPr>
          <w:rFonts w:hint="eastAsia"/>
          <w:color w:val="auto"/>
          <w:sz w:val="24"/>
        </w:rPr>
        <w:t xml:space="preserve">   </w:t>
      </w:r>
    </w:p>
    <w:p>
      <w:pPr>
        <w:widowControl/>
        <w:shd w:val="clear" w:color="auto" w:fill="FFFFFF"/>
        <w:spacing w:line="480" w:lineRule="auto"/>
        <w:ind w:firstLine="420"/>
        <w:rPr>
          <w:color w:val="auto"/>
          <w:sz w:val="24"/>
        </w:rPr>
      </w:pPr>
      <w:r>
        <w:rPr>
          <w:rFonts w:hint="eastAsia"/>
          <w:color w:val="auto"/>
          <w:sz w:val="24"/>
        </w:rPr>
        <w:t>定价方式：</w:t>
      </w:r>
      <w:r>
        <w:rPr>
          <w:rFonts w:hint="eastAsia" w:ascii="宋体" w:hAnsi="宋体" w:eastAsia="宋体" w:cs="宋体"/>
          <w:color w:val="auto"/>
          <w:kern w:val="0"/>
          <w:sz w:val="24"/>
          <w:szCs w:val="24"/>
          <w:lang w:eastAsia="zh-CN"/>
        </w:rPr>
        <w:t>☑</w:t>
      </w:r>
      <w:r>
        <w:rPr>
          <w:rFonts w:hint="eastAsia"/>
          <w:color w:val="auto"/>
          <w:sz w:val="24"/>
        </w:rPr>
        <w:t xml:space="preserve">固定总价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 xml:space="preserve">固定单价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其他（</w:t>
      </w:r>
      <w:r>
        <w:rPr>
          <w:color w:val="auto"/>
          <w:sz w:val="24"/>
        </w:rPr>
        <w:t>定价方式名称：</w:t>
      </w: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w:t>
      </w:r>
    </w:p>
    <w:p>
      <w:pPr>
        <w:widowControl/>
        <w:shd w:val="clear" w:color="auto" w:fill="FFFFFF"/>
        <w:spacing w:line="480" w:lineRule="auto"/>
        <w:ind w:firstLine="420"/>
        <w:rPr>
          <w:color w:val="auto"/>
          <w:sz w:val="24"/>
        </w:rPr>
      </w:pPr>
      <w:r>
        <w:rPr>
          <w:rFonts w:hint="eastAsia"/>
          <w:color w:val="auto"/>
          <w:sz w:val="24"/>
        </w:rPr>
        <w:t>品目信息一</w:t>
      </w:r>
    </w:p>
    <w:p>
      <w:pPr>
        <w:widowControl/>
        <w:shd w:val="clear" w:color="auto" w:fill="FFFFFF"/>
        <w:spacing w:line="480" w:lineRule="auto"/>
        <w:ind w:firstLine="420"/>
        <w:rPr>
          <w:rFonts w:hint="eastAsia" w:eastAsiaTheme="minorEastAsia"/>
          <w:color w:val="auto"/>
          <w:sz w:val="24"/>
          <w:lang w:val="en-US" w:eastAsia="zh-CN"/>
        </w:rPr>
      </w:pPr>
      <w:r>
        <w:rPr>
          <w:rFonts w:hint="eastAsia"/>
          <w:color w:val="auto"/>
          <w:sz w:val="24"/>
        </w:rPr>
        <w:t>标的名称：</w:t>
      </w:r>
      <w:r>
        <w:rPr>
          <w:rFonts w:hint="eastAsia" w:ascii="微软雅黑 Light" w:hAnsi="微软雅黑 Light" w:eastAsia="微软雅黑 Light" w:cs="Times New Roman"/>
          <w:b w:val="0"/>
          <w:bCs w:val="0"/>
          <w:color w:val="auto"/>
          <w:sz w:val="24"/>
          <w:szCs w:val="24"/>
          <w:u w:val="none"/>
          <w:lang w:eastAsia="zh-CN"/>
        </w:rPr>
        <w:t>西华大学平安西华监控维保服务</w:t>
      </w:r>
      <w:r>
        <w:rPr>
          <w:color w:val="auto"/>
          <w:sz w:val="24"/>
        </w:rPr>
        <w:t xml:space="preserve">   </w:t>
      </w:r>
      <w:r>
        <w:rPr>
          <w:rFonts w:hint="eastAsia"/>
          <w:color w:val="auto"/>
          <w:sz w:val="24"/>
        </w:rPr>
        <w:t xml:space="preserve">  计量单位</w:t>
      </w:r>
      <w:r>
        <w:rPr>
          <w:color w:val="auto"/>
          <w:sz w:val="24"/>
        </w:rPr>
        <w:t>：</w:t>
      </w:r>
      <w:r>
        <w:rPr>
          <w:rFonts w:hint="eastAsia"/>
          <w:color w:val="auto"/>
          <w:sz w:val="24"/>
          <w:lang w:val="en-US" w:eastAsia="zh-CN"/>
        </w:rPr>
        <w:t>项</w:t>
      </w:r>
      <w:r>
        <w:rPr>
          <w:color w:val="auto"/>
          <w:sz w:val="24"/>
        </w:rPr>
        <w:t xml:space="preserve">  </w:t>
      </w:r>
      <w:r>
        <w:rPr>
          <w:rFonts w:hint="eastAsia"/>
          <w:color w:val="auto"/>
          <w:sz w:val="24"/>
        </w:rPr>
        <w:t>数量</w:t>
      </w:r>
      <w:r>
        <w:rPr>
          <w:color w:val="auto"/>
          <w:sz w:val="24"/>
        </w:rPr>
        <w:t>：</w:t>
      </w:r>
      <w:r>
        <w:rPr>
          <w:rFonts w:hint="eastAsia"/>
          <w:color w:val="auto"/>
          <w:sz w:val="24"/>
          <w:lang w:val="en-US" w:eastAsia="zh-CN"/>
        </w:rPr>
        <w:t>1</w:t>
      </w:r>
    </w:p>
    <w:p>
      <w:pPr>
        <w:widowControl/>
        <w:shd w:val="clear" w:color="auto" w:fill="FFFFFF"/>
        <w:spacing w:line="480" w:lineRule="auto"/>
        <w:ind w:firstLine="420"/>
        <w:rPr>
          <w:rFonts w:hint="default" w:eastAsiaTheme="minorEastAsia"/>
          <w:color w:val="auto"/>
          <w:sz w:val="24"/>
          <w:lang w:val="en-US" w:eastAsia="zh-CN"/>
        </w:rPr>
      </w:pPr>
      <w:r>
        <w:rPr>
          <w:rFonts w:hint="eastAsia"/>
          <w:color w:val="auto"/>
          <w:sz w:val="24"/>
        </w:rPr>
        <w:t>单价（元）</w:t>
      </w:r>
      <w:r>
        <w:rPr>
          <w:color w:val="auto"/>
          <w:sz w:val="24"/>
        </w:rPr>
        <w:t>：</w:t>
      </w:r>
      <w:r>
        <w:rPr>
          <w:rFonts w:hint="eastAsia"/>
          <w:color w:val="auto"/>
          <w:sz w:val="24"/>
        </w:rPr>
        <w:t xml:space="preserve"> </w:t>
      </w:r>
      <w:r>
        <w:rPr>
          <w:rFonts w:hint="eastAsia"/>
          <w:color w:val="auto"/>
          <w:sz w:val="24"/>
          <w:lang w:val="en-US" w:eastAsia="zh-CN"/>
        </w:rPr>
        <w:t>280000</w:t>
      </w:r>
      <w:r>
        <w:rPr>
          <w:color w:val="auto"/>
          <w:sz w:val="24"/>
        </w:rPr>
        <w:t xml:space="preserve">    </w:t>
      </w:r>
      <w:r>
        <w:rPr>
          <w:rFonts w:hint="eastAsia"/>
          <w:color w:val="auto"/>
          <w:sz w:val="24"/>
          <w:lang w:val="en-US" w:eastAsia="zh-CN"/>
        </w:rPr>
        <w:t xml:space="preserve">  </w:t>
      </w:r>
      <w:r>
        <w:rPr>
          <w:color w:val="auto"/>
          <w:sz w:val="24"/>
        </w:rPr>
        <w:t xml:space="preserve">   </w:t>
      </w:r>
      <w:r>
        <w:rPr>
          <w:rFonts w:hint="eastAsia"/>
          <w:color w:val="auto"/>
          <w:sz w:val="24"/>
        </w:rPr>
        <w:t>该品目预算(元)：</w:t>
      </w:r>
      <w:r>
        <w:rPr>
          <w:rFonts w:hint="eastAsia"/>
          <w:color w:val="auto"/>
          <w:sz w:val="24"/>
          <w:lang w:val="en-US" w:eastAsia="zh-CN"/>
        </w:rPr>
        <w:t>280000</w:t>
      </w:r>
    </w:p>
    <w:p>
      <w:pPr>
        <w:widowControl/>
        <w:shd w:val="clear" w:color="auto" w:fill="FFFFFF"/>
        <w:spacing w:line="480" w:lineRule="auto"/>
        <w:ind w:firstLine="420"/>
        <w:rPr>
          <w:color w:val="auto"/>
          <w:sz w:val="24"/>
        </w:rPr>
      </w:pPr>
      <w:r>
        <w:rPr>
          <w:rFonts w:hint="eastAsia"/>
          <w:color w:val="auto"/>
          <w:sz w:val="24"/>
        </w:rPr>
        <w:t>所属</w:t>
      </w:r>
      <w:r>
        <w:rPr>
          <w:color w:val="auto"/>
          <w:sz w:val="24"/>
        </w:rPr>
        <w:t>行业：</w:t>
      </w:r>
      <w:r>
        <w:rPr>
          <w:rFonts w:hint="eastAsia" w:ascii="宋体" w:hAnsi="宋体" w:eastAsia="宋体" w:cs="宋体"/>
          <w:color w:val="auto"/>
          <w:kern w:val="0"/>
          <w:sz w:val="24"/>
          <w:szCs w:val="24"/>
        </w:rPr>
        <w:t>□</w:t>
      </w:r>
      <w:r>
        <w:rPr>
          <w:rFonts w:hint="eastAsia"/>
          <w:color w:val="auto"/>
          <w:sz w:val="24"/>
        </w:rPr>
        <w:t>农、林、牧、渔业　　</w:t>
      </w:r>
      <w:r>
        <w:rPr>
          <w:rFonts w:hint="eastAsia" w:ascii="宋体" w:hAnsi="宋体" w:eastAsia="宋体" w:cs="宋体"/>
          <w:color w:val="auto"/>
          <w:kern w:val="0"/>
          <w:sz w:val="24"/>
          <w:szCs w:val="24"/>
        </w:rPr>
        <w:t>□</w:t>
      </w:r>
      <w:r>
        <w:rPr>
          <w:rFonts w:hint="eastAsia"/>
          <w:color w:val="auto"/>
          <w:sz w:val="24"/>
        </w:rPr>
        <w:t xml:space="preserve">工业   </w:t>
      </w:r>
      <w:r>
        <w:rPr>
          <w:rFonts w:hint="eastAsia" w:ascii="宋体" w:hAnsi="宋体" w:eastAsia="宋体" w:cs="宋体"/>
          <w:color w:val="auto"/>
          <w:kern w:val="0"/>
          <w:sz w:val="24"/>
          <w:szCs w:val="24"/>
        </w:rPr>
        <w:t>□</w:t>
      </w:r>
      <w:r>
        <w:rPr>
          <w:rFonts w:hint="eastAsia"/>
          <w:color w:val="auto"/>
          <w:sz w:val="24"/>
        </w:rPr>
        <w:t xml:space="preserve">建筑业  </w:t>
      </w:r>
      <w:r>
        <w:rPr>
          <w:rFonts w:hint="eastAsia" w:ascii="宋体" w:hAnsi="宋体" w:eastAsia="宋体" w:cs="宋体"/>
          <w:color w:val="auto"/>
          <w:kern w:val="0"/>
          <w:sz w:val="24"/>
          <w:szCs w:val="24"/>
        </w:rPr>
        <w:t>□</w:t>
      </w:r>
      <w:r>
        <w:rPr>
          <w:rFonts w:hint="eastAsia"/>
          <w:color w:val="auto"/>
          <w:sz w:val="24"/>
        </w:rPr>
        <w:t xml:space="preserve">批发业  </w:t>
      </w:r>
      <w:r>
        <w:rPr>
          <w:rFonts w:hint="eastAsia" w:ascii="宋体" w:hAnsi="宋体" w:eastAsia="宋体" w:cs="宋体"/>
          <w:color w:val="auto"/>
          <w:kern w:val="0"/>
          <w:sz w:val="24"/>
          <w:szCs w:val="24"/>
        </w:rPr>
        <w:t>□</w:t>
      </w:r>
      <w:r>
        <w:rPr>
          <w:rFonts w:hint="eastAsia"/>
          <w:color w:val="auto"/>
          <w:sz w:val="24"/>
        </w:rPr>
        <w:t xml:space="preserve">零售业  </w:t>
      </w:r>
      <w:r>
        <w:rPr>
          <w:rFonts w:hint="eastAsia" w:ascii="宋体" w:hAnsi="宋体" w:eastAsia="宋体" w:cs="宋体"/>
          <w:color w:val="auto"/>
          <w:kern w:val="0"/>
          <w:sz w:val="24"/>
          <w:szCs w:val="24"/>
        </w:rPr>
        <w:t>□</w:t>
      </w:r>
      <w:r>
        <w:rPr>
          <w:rFonts w:hint="eastAsia"/>
          <w:color w:val="auto"/>
          <w:sz w:val="24"/>
        </w:rPr>
        <w:t xml:space="preserve">交通运输业  </w:t>
      </w:r>
      <w:r>
        <w:rPr>
          <w:rFonts w:hint="eastAsia" w:ascii="宋体" w:hAnsi="宋体" w:eastAsia="宋体" w:cs="宋体"/>
          <w:color w:val="auto"/>
          <w:kern w:val="0"/>
          <w:sz w:val="24"/>
          <w:szCs w:val="24"/>
        </w:rPr>
        <w:t>□</w:t>
      </w:r>
      <w:r>
        <w:rPr>
          <w:rFonts w:hint="eastAsia"/>
          <w:color w:val="auto"/>
          <w:sz w:val="24"/>
        </w:rPr>
        <w:t xml:space="preserve">仓储业  </w:t>
      </w:r>
      <w:r>
        <w:rPr>
          <w:rFonts w:hint="eastAsia" w:ascii="宋体" w:hAnsi="宋体" w:eastAsia="宋体" w:cs="宋体"/>
          <w:color w:val="auto"/>
          <w:kern w:val="0"/>
          <w:sz w:val="24"/>
          <w:szCs w:val="24"/>
        </w:rPr>
        <w:t>□</w:t>
      </w:r>
      <w:r>
        <w:rPr>
          <w:rFonts w:hint="eastAsia"/>
          <w:color w:val="auto"/>
          <w:sz w:val="24"/>
        </w:rPr>
        <w:t xml:space="preserve">邮政业  </w:t>
      </w:r>
      <w:r>
        <w:rPr>
          <w:rFonts w:hint="eastAsia" w:ascii="宋体" w:hAnsi="宋体" w:eastAsia="宋体" w:cs="宋体"/>
          <w:color w:val="auto"/>
          <w:kern w:val="0"/>
          <w:sz w:val="24"/>
          <w:szCs w:val="24"/>
        </w:rPr>
        <w:t>□</w:t>
      </w:r>
      <w:r>
        <w:rPr>
          <w:rFonts w:hint="eastAsia"/>
          <w:color w:val="auto"/>
          <w:sz w:val="24"/>
        </w:rPr>
        <w:t xml:space="preserve">住宿业  </w:t>
      </w:r>
      <w:r>
        <w:rPr>
          <w:rFonts w:hint="eastAsia" w:ascii="宋体" w:hAnsi="宋体" w:eastAsia="宋体" w:cs="宋体"/>
          <w:color w:val="auto"/>
          <w:kern w:val="0"/>
          <w:sz w:val="24"/>
          <w:szCs w:val="24"/>
        </w:rPr>
        <w:t>□</w:t>
      </w:r>
      <w:r>
        <w:rPr>
          <w:rFonts w:hint="eastAsia"/>
          <w:color w:val="auto"/>
          <w:sz w:val="24"/>
        </w:rPr>
        <w:t xml:space="preserve">餐饮业  </w:t>
      </w:r>
      <w:r>
        <w:rPr>
          <w:rFonts w:hint="eastAsia" w:ascii="宋体" w:hAnsi="宋体" w:eastAsia="宋体" w:cs="宋体"/>
          <w:color w:val="auto"/>
          <w:kern w:val="0"/>
          <w:sz w:val="24"/>
          <w:szCs w:val="24"/>
        </w:rPr>
        <w:t>□</w:t>
      </w:r>
      <w:r>
        <w:rPr>
          <w:rFonts w:hint="eastAsia"/>
          <w:color w:val="auto"/>
          <w:sz w:val="24"/>
        </w:rPr>
        <w:t xml:space="preserve">信息传输业  </w:t>
      </w:r>
      <w:r>
        <w:rPr>
          <w:rFonts w:hint="eastAsia" w:ascii="宋体" w:hAnsi="宋体" w:eastAsia="宋体" w:cs="宋体"/>
          <w:color w:val="auto"/>
          <w:kern w:val="0"/>
          <w:sz w:val="24"/>
          <w:szCs w:val="24"/>
          <w:lang w:eastAsia="zh-CN"/>
        </w:rPr>
        <w:t>☑</w:t>
      </w:r>
      <w:r>
        <w:rPr>
          <w:rFonts w:hint="eastAsia"/>
          <w:color w:val="auto"/>
          <w:sz w:val="24"/>
        </w:rPr>
        <w:t xml:space="preserve">软件和信息技术服务业  </w:t>
      </w:r>
      <w:r>
        <w:rPr>
          <w:rFonts w:hint="eastAsia" w:ascii="宋体" w:hAnsi="宋体" w:eastAsia="宋体" w:cs="宋体"/>
          <w:color w:val="auto"/>
          <w:kern w:val="0"/>
          <w:sz w:val="24"/>
          <w:szCs w:val="24"/>
        </w:rPr>
        <w:t>□</w:t>
      </w:r>
      <w:r>
        <w:rPr>
          <w:rFonts w:hint="eastAsia"/>
          <w:color w:val="auto"/>
          <w:sz w:val="24"/>
        </w:rPr>
        <w:t xml:space="preserve">房地产开发经营  </w:t>
      </w:r>
      <w:r>
        <w:rPr>
          <w:rFonts w:hint="eastAsia" w:ascii="宋体" w:hAnsi="宋体" w:eastAsia="宋体" w:cs="宋体"/>
          <w:color w:val="auto"/>
          <w:kern w:val="0"/>
          <w:sz w:val="24"/>
          <w:szCs w:val="24"/>
        </w:rPr>
        <w:t>□</w:t>
      </w:r>
      <w:r>
        <w:rPr>
          <w:rFonts w:hint="eastAsia"/>
          <w:color w:val="auto"/>
          <w:sz w:val="24"/>
        </w:rPr>
        <w:t xml:space="preserve">物业管理  </w:t>
      </w:r>
      <w:r>
        <w:rPr>
          <w:rFonts w:hint="eastAsia" w:ascii="宋体" w:hAnsi="宋体" w:eastAsia="宋体" w:cs="宋体"/>
          <w:color w:val="auto"/>
          <w:kern w:val="0"/>
          <w:sz w:val="24"/>
          <w:szCs w:val="24"/>
        </w:rPr>
        <w:t>□</w:t>
      </w:r>
      <w:r>
        <w:rPr>
          <w:rFonts w:hint="eastAsia"/>
          <w:color w:val="auto"/>
          <w:sz w:val="24"/>
        </w:rPr>
        <w:t xml:space="preserve">租赁和商务服务业  </w:t>
      </w:r>
      <w:r>
        <w:rPr>
          <w:rFonts w:hint="eastAsia" w:ascii="宋体" w:hAnsi="宋体" w:eastAsia="宋体" w:cs="宋体"/>
          <w:color w:val="auto"/>
          <w:kern w:val="0"/>
          <w:sz w:val="24"/>
          <w:szCs w:val="24"/>
        </w:rPr>
        <w:t>□</w:t>
      </w:r>
      <w:r>
        <w:rPr>
          <w:rFonts w:hint="eastAsia"/>
          <w:color w:val="auto"/>
          <w:sz w:val="24"/>
        </w:rPr>
        <w:t>其他未列明行业</w:t>
      </w:r>
    </w:p>
    <w:p>
      <w:pPr>
        <w:widowControl/>
        <w:shd w:val="clear" w:color="auto" w:fill="FFFFFF"/>
        <w:spacing w:line="480" w:lineRule="auto"/>
        <w:ind w:firstLine="420"/>
        <w:rPr>
          <w:rFonts w:ascii="宋体" w:hAnsi="宋体" w:eastAsia="宋体" w:cs="宋体"/>
          <w:color w:val="auto"/>
          <w:kern w:val="0"/>
          <w:sz w:val="24"/>
          <w:szCs w:val="24"/>
        </w:rPr>
      </w:pPr>
      <w:r>
        <w:rPr>
          <w:rFonts w:hint="eastAsia"/>
          <w:color w:val="auto"/>
          <w:sz w:val="24"/>
        </w:rPr>
        <w:t>节能</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否            </w:t>
      </w:r>
      <w:r>
        <w:rPr>
          <w:rFonts w:hint="eastAsia"/>
          <w:color w:val="auto"/>
          <w:sz w:val="24"/>
        </w:rPr>
        <w:t>环保</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功能和质量要求 ：</w:t>
      </w:r>
    </w:p>
    <w:p>
      <w:pPr>
        <w:widowControl/>
        <w:shd w:val="clear" w:color="auto" w:fill="FFFFFF"/>
        <w:spacing w:line="480" w:lineRule="auto"/>
        <w:ind w:firstLine="420"/>
        <w:rPr>
          <w:color w:val="auto"/>
          <w:sz w:val="24"/>
        </w:rPr>
      </w:pPr>
    </w:p>
    <w:p>
      <w:pPr>
        <w:widowControl/>
        <w:shd w:val="clear" w:color="auto" w:fill="FFFFFF"/>
        <w:spacing w:line="480" w:lineRule="auto"/>
        <w:ind w:firstLine="420"/>
        <w:rPr>
          <w:color w:val="auto"/>
          <w:sz w:val="24"/>
        </w:rPr>
      </w:pPr>
      <w:r>
        <w:rPr>
          <w:rFonts w:hint="eastAsia"/>
          <w:color w:val="auto"/>
          <w:sz w:val="24"/>
        </w:rPr>
        <w:t>品目信息二（如有，请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品目信息三（如有，请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注：如有</w:t>
      </w:r>
      <w:r>
        <w:rPr>
          <w:color w:val="auto"/>
          <w:sz w:val="24"/>
        </w:rPr>
        <w:t>多个</w:t>
      </w:r>
      <w:r>
        <w:rPr>
          <w:rFonts w:hint="eastAsia"/>
          <w:color w:val="auto"/>
          <w:sz w:val="24"/>
        </w:rPr>
        <w:t>标的，各</w:t>
      </w:r>
      <w:r>
        <w:rPr>
          <w:color w:val="auto"/>
          <w:sz w:val="24"/>
        </w:rPr>
        <w:t>标的品目</w:t>
      </w:r>
      <w:r>
        <w:rPr>
          <w:rFonts w:hint="eastAsia"/>
          <w:color w:val="auto"/>
          <w:sz w:val="24"/>
        </w:rPr>
        <w:t>预算相加</w:t>
      </w:r>
      <w:r>
        <w:rPr>
          <w:color w:val="auto"/>
          <w:sz w:val="24"/>
        </w:rPr>
        <w:t>应等于</w:t>
      </w:r>
      <w:r>
        <w:rPr>
          <w:rFonts w:hint="eastAsia"/>
          <w:color w:val="auto"/>
          <w:sz w:val="24"/>
        </w:rPr>
        <w:t>该</w:t>
      </w:r>
      <w:r>
        <w:rPr>
          <w:color w:val="auto"/>
          <w:sz w:val="24"/>
        </w:rPr>
        <w:t>包</w:t>
      </w:r>
      <w:r>
        <w:rPr>
          <w:rFonts w:hint="eastAsia"/>
          <w:color w:val="auto"/>
          <w:sz w:val="24"/>
        </w:rPr>
        <w:t>总预算（最高</w:t>
      </w:r>
      <w:r>
        <w:rPr>
          <w:color w:val="auto"/>
          <w:sz w:val="24"/>
        </w:rPr>
        <w:t>限价</w:t>
      </w:r>
      <w:r>
        <w:rPr>
          <w:rFonts w:hint="eastAsia"/>
          <w:color w:val="auto"/>
          <w:sz w:val="24"/>
        </w:rPr>
        <w:t>）。</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（五）执行政府采购促进中小企业发展的相关政策</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专门面向中小企业采购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不专门面向中小企业采购</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面向的企业规模：</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中小企业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□小微企业</w:t>
      </w:r>
    </w:p>
    <w:p>
      <w:pPr>
        <w:widowControl/>
        <w:shd w:val="clear" w:color="auto" w:fill="FFFFFF"/>
        <w:spacing w:line="480" w:lineRule="auto"/>
        <w:ind w:left="315" w:leftChars="150"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预留形式：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项目整体预留  □设置专门采购包  □以联合体形式参加  □要求合同分包</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预留比例：</w:t>
      </w:r>
      <w:r>
        <w:rPr>
          <w:rFonts w:hint="eastAsia" w:ascii="宋体" w:hAnsi="宋体" w:eastAsia="宋体" w:cs="宋体"/>
          <w:color w:val="auto"/>
          <w:kern w:val="0"/>
          <w:sz w:val="24"/>
          <w:szCs w:val="24"/>
          <w:lang w:val="en-US" w:eastAsia="zh-CN"/>
        </w:rPr>
        <w:t>100</w:t>
      </w:r>
      <w:r>
        <w:rPr>
          <w:rFonts w:hint="eastAsia" w:ascii="宋体" w:hAnsi="宋体" w:eastAsia="宋体" w:cs="宋体"/>
          <w:color w:val="auto"/>
          <w:kern w:val="0"/>
          <w:sz w:val="24"/>
          <w:szCs w:val="24"/>
        </w:rPr>
        <w:t>%</w:t>
      </w:r>
    </w:p>
    <w:p>
      <w:pPr>
        <w:widowControl/>
        <w:shd w:val="clear" w:color="auto" w:fill="FFFFFF"/>
        <w:spacing w:line="480" w:lineRule="auto"/>
        <w:ind w:firstLine="840" w:firstLineChars="350"/>
        <w:rPr>
          <w:rFonts w:ascii="宋体" w:hAnsi="宋体" w:eastAsia="宋体" w:cs="宋体"/>
          <w:color w:val="auto"/>
          <w:kern w:val="0"/>
          <w:sz w:val="24"/>
          <w:szCs w:val="24"/>
        </w:rPr>
      </w:pPr>
      <w:r>
        <w:rPr>
          <w:rFonts w:hint="eastAsia" w:ascii="宋体" w:hAnsi="宋体" w:eastAsia="宋体" w:cs="宋体"/>
          <w:color w:val="auto"/>
          <w:kern w:val="0"/>
          <w:sz w:val="24"/>
          <w:szCs w:val="24"/>
        </w:rPr>
        <w:t>不专门面向的原因：</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□框架协议采购项目</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□省级以上人民政府财政部门规定的其他情形</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i/>
          <w:iCs/>
          <w:color w:val="auto"/>
          <w:kern w:val="0"/>
          <w:sz w:val="24"/>
          <w:szCs w:val="24"/>
        </w:rPr>
        <w:t>注：监狱企业和残疾人福利单位视同小微企业。</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（六）是否采购环境标识产品：是□ 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（七）是否采购节能产品：是□ 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（八）项目的采购标的是否包含进口产品：是□ 否</w:t>
      </w:r>
      <w:r>
        <w:rPr>
          <w:rFonts w:hint="eastAsia" w:ascii="宋体" w:hAnsi="宋体" w:eastAsia="宋体" w:cs="宋体"/>
          <w:color w:val="auto"/>
          <w:kern w:val="0"/>
          <w:sz w:val="24"/>
          <w:szCs w:val="24"/>
          <w:lang w:eastAsia="zh-CN"/>
        </w:rPr>
        <w:t>☑</w:t>
      </w:r>
    </w:p>
    <w:p>
      <w:pPr>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（九）采购标的是否属于政府购买服务：是□（填以下信息）  否</w:t>
      </w:r>
      <w:r>
        <w:rPr>
          <w:rFonts w:hint="eastAsia" w:ascii="宋体" w:hAnsi="宋体" w:eastAsia="宋体" w:cs="宋体"/>
          <w:color w:val="auto"/>
          <w:kern w:val="0"/>
          <w:sz w:val="24"/>
          <w:szCs w:val="24"/>
        </w:rPr>
        <w:sym w:font="Wingdings" w:char="F0FE"/>
      </w:r>
    </w:p>
    <w:p>
      <w:pPr>
        <w:ind w:firstLine="600" w:firstLineChars="250"/>
        <w:rPr>
          <w:rFonts w:ascii="宋体" w:hAnsi="宋体" w:eastAsia="宋体" w:cs="宋体"/>
          <w:color w:val="auto"/>
          <w:kern w:val="0"/>
          <w:sz w:val="24"/>
          <w:szCs w:val="24"/>
        </w:rPr>
      </w:pPr>
      <w:r>
        <w:rPr>
          <w:rFonts w:hint="eastAsia" w:ascii="宋体" w:hAnsi="宋体" w:eastAsia="宋体" w:cs="宋体"/>
          <w:color w:val="auto"/>
          <w:kern w:val="0"/>
          <w:sz w:val="24"/>
          <w:szCs w:val="24"/>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（十）是否属于政务信息系统项目：是□  否</w:t>
      </w:r>
      <w:r>
        <w:rPr>
          <w:rFonts w:hint="eastAsia" w:ascii="宋体" w:hAnsi="宋体" w:eastAsia="宋体" w:cs="宋体"/>
          <w:color w:val="auto"/>
          <w:kern w:val="0"/>
          <w:sz w:val="24"/>
          <w:szCs w:val="24"/>
        </w:rPr>
        <w:sym w:font="Wingdings" w:char="F0FE"/>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（十一）是否属于高校、科研院所的科研仪器设备采购：是□  否</w:t>
      </w:r>
      <w:r>
        <w:rPr>
          <w:rFonts w:hint="eastAsia" w:ascii="宋体" w:hAnsi="宋体" w:eastAsia="宋体" w:cs="宋体"/>
          <w:color w:val="auto"/>
          <w:kern w:val="0"/>
          <w:sz w:val="24"/>
          <w:szCs w:val="24"/>
        </w:rPr>
        <w:sym w:font="Wingdings" w:char="F0FE"/>
      </w:r>
    </w:p>
    <w:p>
      <w:pPr>
        <w:widowControl/>
        <w:shd w:val="clear" w:color="auto" w:fill="FFFFFF"/>
        <w:spacing w:line="480" w:lineRule="auto"/>
        <w:ind w:firstLine="42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（十二）是否属于PPP项目：是□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w:char="F0FE"/>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四、项目需求及分包情况、采购标的</w:t>
      </w:r>
    </w:p>
    <w:p>
      <w:pPr>
        <w:widowControl/>
        <w:shd w:val="clear" w:color="auto" w:fill="FFFFFF"/>
        <w:spacing w:line="480" w:lineRule="auto"/>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供应商一般资格要求</w:t>
      </w:r>
      <w:r>
        <w:rPr>
          <w:rFonts w:ascii="宋体" w:hAnsi="宋体" w:eastAsia="宋体" w:cs="宋体"/>
          <w:bCs/>
          <w:color w:val="auto"/>
          <w:kern w:val="0"/>
          <w:sz w:val="24"/>
          <w:szCs w:val="24"/>
        </w:rPr>
        <w:t>：</w:t>
      </w:r>
    </w:p>
    <w:tbl>
      <w:tblPr>
        <w:tblStyle w:val="9"/>
        <w:tblW w:w="10875" w:type="dxa"/>
        <w:jc w:val="center"/>
        <w:shd w:val="clear" w:color="auto" w:fill="FFFFFF"/>
        <w:tblLayout w:type="autofit"/>
        <w:tblCellMar>
          <w:top w:w="0" w:type="dxa"/>
          <w:left w:w="0" w:type="dxa"/>
          <w:bottom w:w="0" w:type="dxa"/>
          <w:right w:w="0" w:type="dxa"/>
        </w:tblCellMar>
      </w:tblPr>
      <w:tblGrid>
        <w:gridCol w:w="487"/>
        <w:gridCol w:w="4803"/>
        <w:gridCol w:w="5585"/>
      </w:tblGrid>
      <w:tr>
        <w:tblPrEx>
          <w:shd w:val="clear" w:color="auto" w:fill="FFFFFF"/>
          <w:tblCellMar>
            <w:top w:w="0" w:type="dxa"/>
            <w:left w:w="0" w:type="dxa"/>
            <w:bottom w:w="0" w:type="dxa"/>
            <w:right w:w="0" w:type="dxa"/>
          </w:tblCellMar>
        </w:tblPrEx>
        <w:trPr>
          <w:trHeight w:val="482" w:hRule="atLeast"/>
          <w:tblHeader/>
          <w:jc w:val="center"/>
        </w:trPr>
        <w:tc>
          <w:tcPr>
            <w:tcW w:w="487"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803"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资格要求名称</w:t>
            </w:r>
          </w:p>
        </w:tc>
        <w:tc>
          <w:tcPr>
            <w:tcW w:w="5585"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资格要求详细说明</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投标人应具有独立承担民事责任的能力</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未被列入失信被执行人、重大税收违法案件当事人名单、政府采购严重违法失信行为记录名单</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未处于被行政部门禁止参与政府采购活动的期限内</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行贿犯罪记录</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单位负责人为同一人或者存在直接控股、管理关系的不同供应商，不得参加同一项目的投标</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投标文件签章</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投标文件资格响应文件的语言</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语言符合招标文件的要求。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法律、行政法规规定的其他条件</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不属于国家相关法律法规规定的其他禁止参加投标的情形</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pStyle w:val="5"/>
        <w:rPr>
          <w:color w:val="auto"/>
        </w:rPr>
      </w:pPr>
    </w:p>
    <w:p>
      <w:pPr>
        <w:widowControl/>
        <w:shd w:val="clear" w:color="auto" w:fill="FFFFFF"/>
        <w:spacing w:line="480" w:lineRule="auto"/>
        <w:outlineLvl w:val="4"/>
        <w:rPr>
          <w:rFonts w:ascii="宋体" w:hAnsi="宋体" w:eastAsia="宋体" w:cs="宋体"/>
          <w:bCs/>
          <w:color w:val="auto"/>
          <w:kern w:val="0"/>
          <w:sz w:val="24"/>
          <w:szCs w:val="24"/>
        </w:rPr>
      </w:pPr>
    </w:p>
    <w:p>
      <w:pPr>
        <w:widowControl/>
        <w:shd w:val="clear" w:color="auto" w:fill="FFFFFF"/>
        <w:spacing w:line="480" w:lineRule="auto"/>
        <w:outlineLvl w:val="4"/>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供应商特殊资格要求（如有）：</w:t>
      </w:r>
      <w:r>
        <w:rPr>
          <w:rFonts w:hint="eastAsia" w:ascii="宋体" w:hAnsi="宋体" w:eastAsia="宋体" w:cs="宋体"/>
          <w:bCs/>
          <w:color w:val="auto"/>
          <w:kern w:val="0"/>
          <w:sz w:val="24"/>
          <w:szCs w:val="24"/>
          <w:lang w:val="en-US" w:eastAsia="zh-CN"/>
        </w:rPr>
        <w:t>无</w:t>
      </w:r>
    </w:p>
    <w:p>
      <w:pPr>
        <w:widowControl/>
        <w:shd w:val="clear" w:color="auto" w:fill="FFFFFF"/>
        <w:spacing w:line="480" w:lineRule="auto"/>
        <w:outlineLvl w:val="4"/>
        <w:rPr>
          <w:rFonts w:ascii="宋体" w:hAnsi="宋体" w:eastAsia="宋体" w:cs="宋体"/>
          <w:bCs/>
          <w:color w:val="auto"/>
          <w:kern w:val="0"/>
          <w:sz w:val="24"/>
          <w:szCs w:val="24"/>
        </w:rPr>
      </w:pPr>
    </w:p>
    <w:p>
      <w:pPr>
        <w:widowControl/>
        <w:shd w:val="clear" w:color="auto" w:fill="FFFFFF"/>
        <w:spacing w:line="480" w:lineRule="auto"/>
        <w:ind w:firstLine="420"/>
        <w:outlineLvl w:val="4"/>
        <w:rPr>
          <w:rFonts w:ascii="宋体" w:hAnsi="宋体" w:eastAsia="宋体" w:cs="宋体"/>
          <w:bCs/>
          <w:color w:val="auto"/>
          <w:kern w:val="0"/>
          <w:sz w:val="24"/>
          <w:szCs w:val="24"/>
        </w:rPr>
      </w:pPr>
    </w:p>
    <w:p>
      <w:pPr>
        <w:widowControl/>
        <w:shd w:val="clear" w:color="auto" w:fill="FFFFFF"/>
        <w:spacing w:line="480" w:lineRule="auto"/>
        <w:ind w:firstLine="420"/>
        <w:outlineLvl w:val="4"/>
        <w:rPr>
          <w:rFonts w:ascii="宋体" w:hAnsi="宋体" w:eastAsia="宋体" w:cs="宋体"/>
          <w:color w:val="auto"/>
          <w:kern w:val="0"/>
          <w:sz w:val="24"/>
          <w:szCs w:val="24"/>
        </w:rPr>
      </w:pPr>
      <w:r>
        <w:rPr>
          <w:rFonts w:hint="eastAsia" w:ascii="宋体" w:hAnsi="宋体" w:eastAsia="宋体" w:cs="宋体"/>
          <w:color w:val="auto"/>
          <w:kern w:val="0"/>
          <w:sz w:val="24"/>
          <w:szCs w:val="24"/>
        </w:rPr>
        <w:t>技术要求与标准：</w:t>
      </w:r>
    </w:p>
    <w:p>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说明：采购人应当合理设定“★”参数，设置过多容易导致废标；在填写下表时以“★”标明的，在“具体技术（参数）要求”处应当详细明确具体要求。打“</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”号条款为重要技术参数，若有部分“</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”条款未响应或不满足，将导致其响应性评审加重扣分，但不作为无效投标条款。</w:t>
      </w:r>
    </w:p>
    <w:p>
      <w:pPr>
        <w:widowControl/>
        <w:shd w:val="clear" w:color="auto" w:fill="FFFFFF"/>
        <w:spacing w:line="480" w:lineRule="auto"/>
        <w:ind w:firstLine="420"/>
        <w:outlineLvl w:val="4"/>
        <w:rPr>
          <w:color w:val="auto"/>
          <w:sz w:val="24"/>
        </w:rPr>
      </w:pPr>
      <w:r>
        <w:rPr>
          <w:rFonts w:hint="eastAsia"/>
          <w:color w:val="auto"/>
          <w:sz w:val="24"/>
        </w:rPr>
        <w:t>品目信息一的</w:t>
      </w:r>
      <w:r>
        <w:rPr>
          <w:color w:val="auto"/>
          <w:sz w:val="24"/>
        </w:rPr>
        <w:t>标的参数：</w:t>
      </w:r>
    </w:p>
    <w:tbl>
      <w:tblPr>
        <w:tblStyle w:val="10"/>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632"/>
        <w:gridCol w:w="8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参数性质</w:t>
            </w:r>
          </w:p>
        </w:tc>
        <w:tc>
          <w:tcPr>
            <w:tcW w:w="632" w:type="dxa"/>
          </w:tcPr>
          <w:p>
            <w:pPr>
              <w:widowControl/>
              <w:spacing w:line="480" w:lineRule="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8590" w:type="dxa"/>
          </w:tcPr>
          <w:p>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8590" w:type="dxa"/>
          </w:tcPr>
          <w:p>
            <w:pPr>
              <w:pStyle w:val="5"/>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rPr>
              <w:t>完成</w:t>
            </w:r>
            <w:r>
              <w:rPr>
                <w:rFonts w:hint="eastAsia" w:ascii="宋体" w:hAnsi="宋体" w:eastAsia="宋体" w:cs="宋体"/>
                <w:color w:val="auto"/>
                <w:kern w:val="2"/>
                <w:sz w:val="21"/>
                <w:szCs w:val="21"/>
                <w:lang w:val="en-US" w:eastAsia="zh-CN" w:bidi="ar-SA"/>
              </w:rPr>
              <w:t>学校2013年至2017年期间一、二期监控项目建设的剩余未更换1496个点位硬件设备及一、二期建设2320个点位的电源供给、链</w:t>
            </w:r>
            <w:bookmarkStart w:id="0" w:name="_GoBack"/>
            <w:bookmarkEnd w:id="0"/>
            <w:r>
              <w:rPr>
                <w:rFonts w:hint="eastAsia" w:ascii="宋体" w:hAnsi="宋体" w:eastAsia="宋体" w:cs="宋体"/>
                <w:color w:val="auto"/>
                <w:kern w:val="2"/>
                <w:sz w:val="21"/>
                <w:szCs w:val="21"/>
                <w:lang w:val="en-US" w:eastAsia="zh-CN" w:bidi="ar-SA"/>
              </w:rPr>
              <w:t>路保障及软件配套的</w:t>
            </w:r>
            <w:r>
              <w:rPr>
                <w:rFonts w:hint="eastAsia" w:ascii="宋体" w:hAnsi="宋体" w:eastAsia="宋体" w:cs="宋体"/>
                <w:color w:val="auto"/>
                <w:kern w:val="0"/>
                <w:sz w:val="21"/>
                <w:szCs w:val="21"/>
              </w:rPr>
              <w:t>维保</w:t>
            </w:r>
            <w:r>
              <w:rPr>
                <w:rFonts w:hint="eastAsia" w:ascii="宋体" w:hAnsi="宋体" w:eastAsia="宋体" w:cs="宋体"/>
                <w:color w:val="auto"/>
                <w:kern w:val="0"/>
                <w:sz w:val="21"/>
                <w:szCs w:val="21"/>
                <w:lang w:val="en-US" w:eastAsia="zh-CN"/>
              </w:rPr>
              <w:t>以保障</w:t>
            </w:r>
            <w:r>
              <w:rPr>
                <w:rFonts w:hint="eastAsia" w:ascii="宋体" w:hAnsi="宋体" w:eastAsia="宋体" w:cs="宋体"/>
                <w:color w:val="auto"/>
                <w:kern w:val="0"/>
                <w:sz w:val="21"/>
                <w:szCs w:val="21"/>
              </w:rPr>
              <w:t>系统正常运行。</w:t>
            </w:r>
          </w:p>
          <w:p>
            <w:pPr>
              <w:rPr>
                <w:rFonts w:ascii="宋体" w:hAnsi="宋体" w:eastAsia="宋体" w:cs="宋体"/>
                <w:color w:val="auto"/>
                <w:kern w:val="0"/>
                <w:sz w:val="24"/>
                <w:szCs w:val="24"/>
              </w:rPr>
            </w:pPr>
            <w:r>
              <w:rPr>
                <w:rFonts w:hint="eastAsia" w:ascii="宋体" w:hAnsi="宋体" w:eastAsia="宋体" w:cs="宋体"/>
                <w:color w:val="auto"/>
                <w:kern w:val="2"/>
                <w:sz w:val="21"/>
                <w:szCs w:val="21"/>
                <w:lang w:val="en-US" w:eastAsia="zh-CN" w:bidi="ar-SA"/>
              </w:rPr>
              <w:t>1.中标方负责学校2013年至2017年期间一、二期监控项目建设的剩余未更换1496个点位对应设备的硬件维修维护；一、二期建设2320个点位的电源供给、链路保障的维修维护以保证系统正常运行；整套系统配套的平台软件的维护以及升级并定期给学校相关人员进行操作管理技术培训，确保所有值班、管理人员具备基本的专业知识；在设备巡检过程中建立详细的设备资产档案，把设备的详细品牌型号、参数、运行状态、维护记录、维修记录、使用年限等形成纸制文件和电子版文件保存。建立设备档案系统方便对设备进行日常管理，通过巡检制度将整个监控系统运行中易出现问题的环节进行提前备份，做好预防；保障系统正常运行，保证设备完好率，及时掌握设备运行状态，生成动态设备管理台账，为设备维修维护、更新换代提供基础资料。完成现场巡查及按计划对设备逐一检查。填写巡检服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8590" w:type="dxa"/>
          </w:tcPr>
          <w:p>
            <w:pPr>
              <w:pStyle w:val="5"/>
              <w:numPr>
                <w:ilvl w:val="0"/>
                <w:numId w:val="0"/>
              </w:numPr>
              <w:rPr>
                <w:rFonts w:ascii="宋体" w:hAnsi="宋体" w:eastAsia="宋体" w:cs="宋体"/>
                <w:color w:val="auto"/>
                <w:kern w:val="0"/>
                <w:sz w:val="24"/>
                <w:szCs w:val="24"/>
              </w:rPr>
            </w:pPr>
            <w:r>
              <w:rPr>
                <w:rFonts w:ascii="宋体" w:hAnsi="宋体" w:eastAsia="宋体" w:cs="宋体"/>
                <w:color w:val="auto"/>
                <w:kern w:val="0"/>
                <w:sz w:val="24"/>
                <w:szCs w:val="24"/>
                <w:lang w:val="en-US" w:eastAsia="zh-CN" w:bidi="ar-SA"/>
              </w:rPr>
              <w:t>2.</w:t>
            </w:r>
            <w:r>
              <w:rPr>
                <w:rFonts w:hint="eastAsia" w:ascii="宋体" w:hAnsi="宋体" w:eastAsia="宋体" w:cs="宋体"/>
                <w:color w:val="auto"/>
                <w:kern w:val="2"/>
                <w:sz w:val="21"/>
                <w:szCs w:val="21"/>
                <w:lang w:val="en-US" w:eastAsia="zh-CN" w:bidi="ar-SA"/>
              </w:rPr>
              <w:t>保持内外设备环境的干净，防止灰尘太多、湿度高、温度高而使设备元件出现故障；每周一次检查系统线路，防止发生线路断路或漏电情况；每周一次检查线路与设备连接处，防止接线头松动而使系统工作不正常；每周一次检查室外防护装置，防止设备被毁坏；摄像机外罩是否清洁直接关系到摄像枪的图像清晰度，中标单位需随时检查并清洁摄像机外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8590" w:type="dxa"/>
          </w:tcPr>
          <w:p>
            <w:pPr>
              <w:pStyle w:val="5"/>
              <w:numPr>
                <w:ilvl w:val="0"/>
                <w:numId w:val="0"/>
              </w:numPr>
              <w:ind w:left="0" w:leftChars="0" w:firstLine="0" w:firstLineChars="0"/>
              <w:rPr>
                <w:rFonts w:ascii="宋体" w:hAnsi="宋体" w:eastAsia="宋体" w:cs="宋体"/>
                <w:color w:val="auto"/>
                <w:kern w:val="0"/>
                <w:sz w:val="24"/>
                <w:szCs w:val="24"/>
              </w:rPr>
            </w:pPr>
            <w:r>
              <w:rPr>
                <w:rFonts w:ascii="宋体" w:hAnsi="宋体" w:eastAsia="宋体" w:cs="宋体"/>
                <w:color w:val="auto"/>
                <w:kern w:val="0"/>
                <w:sz w:val="24"/>
                <w:szCs w:val="24"/>
                <w:lang w:val="en-US" w:eastAsia="zh-CN" w:bidi="ar-SA"/>
              </w:rPr>
              <w:t>3.</w:t>
            </w:r>
            <w:r>
              <w:rPr>
                <w:rFonts w:hint="eastAsia" w:ascii="宋体" w:hAnsi="宋体" w:eastAsia="宋体" w:cs="宋体"/>
                <w:color w:val="auto"/>
                <w:kern w:val="2"/>
                <w:sz w:val="21"/>
                <w:szCs w:val="21"/>
                <w:lang w:val="en-US" w:eastAsia="zh-CN" w:bidi="ar-SA"/>
              </w:rPr>
              <w:t>每月对防雷接地测试点进行测试；设备维修完成后，及时安装调试，并总结故障原因，形成文字报告；每季度一次对所有机房到点位的光纤、网线、及电线进行检查（大楼间主干光纤由学校网络中心提供保障）；每天检查录像回放，防止因偶然发生的情况而使录像设置发生改变。每周检查录像回放，通过检查录像回放来发现是否有时间段没有录像，从而查找问题，防止事故发生时而无法提取录像，造成损失；每天检查监控系统是否在录像，防止突然断电而使软件数据库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pStyle w:val="5"/>
              <w:rPr>
                <w:color w:val="auto"/>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8590" w:type="dxa"/>
          </w:tcPr>
          <w:p>
            <w:pPr>
              <w:pStyle w:val="5"/>
              <w:rPr>
                <w:rFonts w:ascii="宋体" w:hAnsi="宋体" w:eastAsia="宋体" w:cs="宋体"/>
                <w:color w:val="auto"/>
                <w:kern w:val="0"/>
                <w:sz w:val="24"/>
                <w:szCs w:val="24"/>
              </w:rPr>
            </w:pPr>
            <w:r>
              <w:rPr>
                <w:rFonts w:hint="eastAsia" w:ascii="宋体" w:hAnsi="宋体" w:eastAsia="宋体" w:cs="宋体"/>
                <w:color w:val="auto"/>
                <w:kern w:val="2"/>
                <w:sz w:val="21"/>
                <w:szCs w:val="21"/>
                <w:lang w:val="en-US" w:eastAsia="zh-CN" w:bidi="ar-SA"/>
              </w:rPr>
              <w:t>4.每天检查操作系统日志，防止出现硬盘损坏，而使系统不能录像。网络摄像机在平台软件或电视墙观察画面质量，清晰度，有无卡顿等。中标方及其工作人员应必须严格遵守校方的规章制度。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pStyle w:val="5"/>
              <w:rPr>
                <w:color w:val="auto"/>
              </w:rPr>
            </w:pPr>
            <w:r>
              <w:rPr>
                <w:rFonts w:hint="eastAsia" w:ascii="宋体" w:hAnsi="宋体" w:eastAsia="宋体" w:cs="宋体"/>
                <w:bCs/>
                <w:color w:val="auto"/>
                <w:kern w:val="0"/>
                <w:sz w:val="24"/>
                <w:szCs w:val="24"/>
                <w:lang w:val="en-US" w:eastAsia="zh-CN"/>
              </w:rPr>
              <w:t>重要参数</w:t>
            </w:r>
          </w:p>
        </w:tc>
        <w:tc>
          <w:tcPr>
            <w:tcW w:w="632" w:type="dxa"/>
          </w:tcPr>
          <w:p>
            <w:pPr>
              <w:widowControl/>
              <w:spacing w:line="48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8590" w:type="dxa"/>
          </w:tcPr>
          <w:p>
            <w:pPr>
              <w:pStyle w:val="5"/>
              <w:rPr>
                <w:rFonts w:ascii="宋体" w:hAnsi="宋体" w:eastAsia="宋体" w:cs="宋体"/>
                <w:color w:val="auto"/>
                <w:kern w:val="0"/>
                <w:sz w:val="24"/>
                <w:szCs w:val="24"/>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kern w:val="2"/>
                <w:sz w:val="21"/>
                <w:szCs w:val="21"/>
                <w:lang w:val="en-US" w:eastAsia="zh-CN" w:bidi="ar-SA"/>
              </w:rPr>
              <w:t>中标方须提供两名驻校服务工程师工作日每天在学校各校区上班（若有特殊情况，中标人须提前安排其他工程师替补），对各校区的整套系统每天巡查巡检，对各类问题及时处理，并协助监控指挥中心做好所有日常布控布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8" w:type="dxa"/>
          </w:tcPr>
          <w:p>
            <w:pPr>
              <w:pStyle w:val="5"/>
              <w:rPr>
                <w:color w:val="auto"/>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8590" w:type="dxa"/>
          </w:tcPr>
          <w:p>
            <w:pPr>
              <w:pStyle w:val="5"/>
              <w:rPr>
                <w:rFonts w:ascii="宋体" w:hAnsi="宋体" w:eastAsia="宋体" w:cs="宋体"/>
                <w:color w:val="auto"/>
                <w:kern w:val="0"/>
                <w:sz w:val="24"/>
                <w:szCs w:val="24"/>
              </w:rPr>
            </w:pPr>
            <w:r>
              <w:rPr>
                <w:rFonts w:hint="eastAsia" w:ascii="宋体" w:hAnsi="宋体" w:eastAsia="宋体" w:cs="宋体"/>
                <w:color w:val="auto"/>
                <w:kern w:val="2"/>
                <w:sz w:val="21"/>
                <w:szCs w:val="21"/>
                <w:lang w:val="en-US" w:eastAsia="zh-CN" w:bidi="ar-SA"/>
              </w:rPr>
              <w:t>6.中标人须在合同签订后3天内，自行勘察并熟悉各校区所有光纤、电线、网线走线及所有设备的基础情况，并于第4天进入日常掉线率考核，要求每天总掉线率不得高于3%，所有故障设备在维保期内免费保修。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8590" w:type="dxa"/>
          </w:tcPr>
          <w:p>
            <w:pPr>
              <w:rPr>
                <w:rFonts w:ascii="宋体" w:hAnsi="宋体" w:cs="宋体"/>
                <w:color w:val="auto"/>
                <w:szCs w:val="21"/>
              </w:rPr>
            </w:pPr>
            <w:r>
              <w:rPr>
                <w:rFonts w:hint="eastAsia" w:ascii="宋体" w:hAnsi="宋体" w:cs="宋体"/>
                <w:color w:val="auto"/>
                <w:szCs w:val="21"/>
                <w:lang w:val="en-US" w:eastAsia="zh-CN"/>
              </w:rPr>
              <w:t>二、</w:t>
            </w:r>
            <w:r>
              <w:rPr>
                <w:rFonts w:hint="eastAsia" w:ascii="宋体" w:hAnsi="宋体" w:cs="宋体"/>
                <w:color w:val="auto"/>
                <w:szCs w:val="21"/>
              </w:rPr>
              <w:t>升级更新平安西华指挥平台。</w:t>
            </w:r>
          </w:p>
          <w:p>
            <w:pPr>
              <w:rPr>
                <w:rFonts w:ascii="宋体" w:hAnsi="宋体" w:eastAsia="宋体" w:cs="宋体"/>
                <w:color w:val="auto"/>
                <w:kern w:val="0"/>
                <w:sz w:val="24"/>
                <w:szCs w:val="24"/>
              </w:rPr>
            </w:pPr>
            <w:r>
              <w:rPr>
                <w:rFonts w:hint="eastAsia" w:ascii="宋体" w:hAnsi="宋体" w:cs="宋体"/>
                <w:color w:val="auto"/>
                <w:szCs w:val="21"/>
                <w:lang w:val="en-US" w:eastAsia="zh-CN"/>
              </w:rPr>
              <w:t>7.</w:t>
            </w:r>
            <w:r>
              <w:rPr>
                <w:rFonts w:hint="eastAsia" w:ascii="宋体" w:hAnsi="宋体" w:cs="宋体"/>
                <w:color w:val="auto"/>
                <w:szCs w:val="21"/>
              </w:rPr>
              <w:t>本次授权路数</w:t>
            </w:r>
            <w:r>
              <w:rPr>
                <w:rFonts w:hint="eastAsia" w:ascii="宋体" w:hAnsi="宋体" w:cs="宋体"/>
                <w:color w:val="auto"/>
                <w:szCs w:val="21"/>
                <w:lang w:val="en-US" w:eastAsia="zh-CN"/>
              </w:rPr>
              <w:t>1600</w:t>
            </w:r>
            <w:r>
              <w:rPr>
                <w:rFonts w:hint="eastAsia" w:ascii="宋体" w:hAnsi="宋体" w:cs="宋体"/>
                <w:color w:val="auto"/>
                <w:szCs w:val="21"/>
              </w:rPr>
              <w:t>路国标视频接入；</w:t>
            </w:r>
            <w:r>
              <w:rPr>
                <w:rFonts w:hint="eastAsia"/>
                <w:color w:val="auto"/>
              </w:rPr>
              <w:t>.综合安防管理平台，支持统一管理视频监控、一卡通、车辆管控、报警检测、综合管控等应用，实现安防系统的智能化应用及统一集成化管理； 支持用户密码有效时间段进行设置管理，支持用户IP绑定，指定IP地址用户才能登陆平台；支持BS、CS客户端以及IOS、Android移动端应用；支持门禁设备接入、管理和控制，支持门禁权限配置和下发，支持卡（含身份证）、人脸、指纹、卡密码等凭证单独或组合使用的认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bCs/>
                <w:color w:val="auto"/>
                <w:kern w:val="0"/>
                <w:sz w:val="24"/>
                <w:szCs w:val="24"/>
                <w:lang w:val="en-US" w:eastAsia="zh-CN"/>
              </w:rPr>
              <w:t>重要参数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8590" w:type="dxa"/>
          </w:tcPr>
          <w:p>
            <w:pPr>
              <w:rPr>
                <w:rFonts w:ascii="宋体" w:hAnsi="宋体" w:eastAsia="宋体" w:cs="宋体"/>
                <w:color w:val="auto"/>
                <w:kern w:val="0"/>
                <w:sz w:val="24"/>
                <w:szCs w:val="24"/>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color w:val="auto"/>
              </w:rPr>
              <w:t>支持业务应用组件化，各组件独立运行维护、独立安装或卸载，支持部署组件（服务）到服务器集群，支持集群管理，支持系统分布式、负载均衡等技术，支持多级架构进行系统平台规模扩展，支持开放API接口给第三方系统对接（提供具有CMA或CNAS标识的检测报告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bCs/>
                <w:color w:val="auto"/>
                <w:kern w:val="0"/>
                <w:sz w:val="24"/>
                <w:szCs w:val="24"/>
                <w:lang w:val="en-US" w:eastAsia="zh-CN"/>
              </w:rPr>
              <w:t>重要参数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8590" w:type="dxa"/>
          </w:tcPr>
          <w:p>
            <w:pPr>
              <w:rPr>
                <w:rFonts w:ascii="宋体" w:hAnsi="宋体" w:eastAsia="宋体" w:cs="宋体"/>
                <w:color w:val="auto"/>
                <w:kern w:val="0"/>
                <w:sz w:val="24"/>
                <w:szCs w:val="24"/>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color w:val="auto"/>
              </w:rPr>
              <w:t>支持根据用户使用习惯自定义配置快捷功能入口，支持首页投放大屏展示，支持不少于最近七日的用户活跃数统计，支持对系统中的分组、服务器、组件等统计概览、查看，支持统计服务器在线率及各服务器在线详情（提供具有CMA或CNAS标识的检测报告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bCs/>
                <w:color w:val="auto"/>
                <w:kern w:val="0"/>
                <w:sz w:val="24"/>
                <w:szCs w:val="24"/>
                <w:lang w:val="en-US" w:eastAsia="zh-CN"/>
              </w:rPr>
              <w:t>重要参数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8590" w:type="dxa"/>
          </w:tcPr>
          <w:p>
            <w:pPr>
              <w:rPr>
                <w:rFonts w:ascii="宋体" w:hAnsi="宋体" w:eastAsia="宋体" w:cs="宋体"/>
                <w:color w:val="auto"/>
                <w:kern w:val="0"/>
                <w:sz w:val="24"/>
                <w:szCs w:val="24"/>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color w:val="auto"/>
              </w:rPr>
              <w:t>支持不同色彩展示运行告警状态，支持告警统计、概览、处理，支持告警记录查看、查询，支持告警单条、批量处理；支持系统最近7天每日告警数统计，支持评分量化系统监控指数，显示系统运行状态（提供具有CMA或CNAS标识的检测报告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bCs/>
                <w:color w:val="auto"/>
                <w:kern w:val="0"/>
                <w:sz w:val="24"/>
                <w:szCs w:val="24"/>
                <w:lang w:val="en-US" w:eastAsia="zh-CN"/>
              </w:rPr>
              <w:t>重要参数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8590" w:type="dxa"/>
          </w:tcPr>
          <w:p>
            <w:pPr>
              <w:rPr>
                <w:rFonts w:ascii="宋体" w:hAnsi="宋体" w:eastAsia="宋体" w:cs="宋体"/>
                <w:color w:val="auto"/>
                <w:kern w:val="0"/>
                <w:sz w:val="24"/>
                <w:szCs w:val="24"/>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11.</w:t>
            </w:r>
            <w:r>
              <w:rPr>
                <w:rFonts w:hint="eastAsia"/>
                <w:color w:val="auto"/>
              </w:rPr>
              <w:t>支持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提供具有CMA或CNAS标识的检测报告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8590" w:type="dxa"/>
          </w:tcPr>
          <w:p>
            <w:pPr>
              <w:rPr>
                <w:rFonts w:ascii="宋体" w:hAnsi="宋体" w:eastAsia="宋体" w:cs="宋体"/>
                <w:color w:val="auto"/>
                <w:kern w:val="0"/>
                <w:sz w:val="24"/>
                <w:szCs w:val="24"/>
              </w:rPr>
            </w:pPr>
            <w:r>
              <w:rPr>
                <w:rFonts w:hint="eastAsia"/>
                <w:color w:val="auto"/>
                <w:sz w:val="21"/>
                <w:szCs w:val="21"/>
                <w:lang w:val="en-US" w:eastAsia="zh-CN"/>
              </w:rPr>
              <w:t>12.</w:t>
            </w:r>
            <w:r>
              <w:rPr>
                <w:rFonts w:hint="eastAsia"/>
                <w:color w:val="auto"/>
                <w:sz w:val="21"/>
                <w:szCs w:val="21"/>
              </w:rPr>
              <w:t>支持</w:t>
            </w:r>
            <w:r>
              <w:rPr>
                <w:rFonts w:hint="eastAsia"/>
                <w:color w:val="auto"/>
              </w:rPr>
              <w:t>对服务的参数配置进行查询、查看、修改、下发，支持告警策略配置启用、查看、修改、设置，支持集群信息查看、添加、删除，支持授权查看管理、导入、移除授权文件；支持在线授权激活、离线授权激活； 支持开启自动发现，支持通过交换机设备IP、协议信息发现获取网络中的资源，支持重新发现，支持对发现的资源进行区域绑定，支持查看拓扑页面中的资源告警和线路告警，支持对告警进行处理；支持对拓扑图进行编辑操作，包括拓扑布局修改、拓扑节点搜索、拓扑路线编辑，支持查看监控点到服务器之间的网络连接和流量情况；支持IPv6网络适配，支持IPv6环境下部署、平台访问和业务应用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8590" w:type="dxa"/>
          </w:tcPr>
          <w:p>
            <w:pPr>
              <w:pStyle w:val="5"/>
              <w:widowControl w:val="0"/>
              <w:numPr>
                <w:ilvl w:val="0"/>
                <w:numId w:val="0"/>
              </w:numPr>
              <w:spacing w:after="120" w:afterLines="0" w:afterAutospacing="0"/>
              <w:jc w:val="both"/>
              <w:rPr>
                <w:rFonts w:ascii="宋体" w:hAnsi="宋体" w:eastAsia="宋体" w:cs="宋体"/>
                <w:color w:val="auto"/>
                <w:kern w:val="0"/>
                <w:sz w:val="24"/>
                <w:szCs w:val="24"/>
              </w:rPr>
            </w:pPr>
            <w:r>
              <w:rPr>
                <w:rFonts w:hint="eastAsia"/>
                <w:color w:val="auto"/>
                <w:lang w:val="en-US" w:eastAsia="zh-CN"/>
              </w:rPr>
              <w:t>13.配套VR全景应用平台软件服务，</w:t>
            </w:r>
            <w:r>
              <w:rPr>
                <w:rFonts w:hint="eastAsia"/>
                <w:color w:val="auto"/>
              </w:rPr>
              <w:t>支持全景图热点类型，包括“全景切换、视频、音频、图文、文字、超链接”，并支持业务类型的扩展；支持视频、序列帧、图片、文字、矢量图形等在全景图上的标记，并支持自定义图片上传。支持设置热点初始化是否加载，支持拖拽式的操作，参数化的配置，所配置及所得。支持关联视频，实现定位即关联打开相关的视频。支持参数扩展，方便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8590" w:type="dxa"/>
          </w:tcPr>
          <w:p>
            <w:pPr>
              <w:pStyle w:val="5"/>
              <w:widowControl w:val="0"/>
              <w:numPr>
                <w:ilvl w:val="0"/>
                <w:numId w:val="0"/>
              </w:numPr>
              <w:spacing w:after="120" w:afterLines="0" w:afterAutospacing="0"/>
              <w:jc w:val="both"/>
              <w:rPr>
                <w:rFonts w:hint="eastAsia" w:ascii="宋体" w:hAnsi="宋体" w:cs="宋体"/>
                <w:color w:val="auto"/>
                <w:szCs w:val="21"/>
              </w:rPr>
            </w:pPr>
            <w:r>
              <w:rPr>
                <w:rFonts w:hint="eastAsia"/>
                <w:color w:val="auto"/>
                <w:lang w:val="en-US" w:eastAsia="zh-CN"/>
              </w:rPr>
              <w:t>14.配套VR全景应用平台软件授权服务，</w:t>
            </w:r>
            <w:r>
              <w:rPr>
                <w:rFonts w:hint="eastAsia"/>
                <w:color w:val="auto"/>
              </w:rPr>
              <w:t>360°*180°实景呈现：进行水平360°和垂直180°拖动操作，实现全方向平滑转动。）交互式3D感受：真实场景复刻，通过大小、远近的变换，展示场景的整体面貌和空间布局，通过场景的漫游，叠加热点标签，以语音导览的形式呈现，更有针对性的自主选择所要了解的内容和信息。多媒体融合：全景图支持嵌入视频、声音、图片等流媒体，实现在一个播放器内展示，提供多重互动沉浸体验。多视角切换：支持鱼眼、水晶球、圆柱体投影效果平滑切换，满足全局和局部呈现。多平台嵌入：支持嵌入到网站、微信公众号、手机APP、论坛等目前流行媒体平台中，满足通过移动终端的方式将展览全景呈现。支持根据在全景图上配置的导览路线实现自动导览巡游。支持查看/切换导览路线，查看导览进度，自动播放导览点关联的视频，控制导览的起点，并可对导览中手动暂停、结束。</w:t>
            </w: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一般参数</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8590" w:type="dxa"/>
          </w:tcPr>
          <w:p>
            <w:pPr>
              <w:pStyle w:val="5"/>
              <w:rPr>
                <w:rFonts w:hint="default" w:ascii="宋体" w:hAnsi="宋体" w:eastAsia="宋体" w:cs="宋体"/>
                <w:color w:val="auto"/>
                <w:kern w:val="0"/>
                <w:sz w:val="24"/>
                <w:szCs w:val="24"/>
                <w:lang w:val="en-US"/>
              </w:rPr>
            </w:pPr>
            <w:r>
              <w:rPr>
                <w:rFonts w:hint="eastAsia"/>
                <w:color w:val="auto"/>
                <w:lang w:val="en-US" w:eastAsia="zh-CN"/>
              </w:rPr>
              <w:t>15.配套VR全景应用平台软件服务，实现周期性AR背景素材更新，包括并不限于高点无人机航拍，低点全景相机拍摄，全景素材渲染，全域点位标签等全景功能服务。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tcPr>
          <w:p>
            <w:pPr>
              <w:widowControl/>
              <w:spacing w:line="480" w:lineRule="auto"/>
              <w:rPr>
                <w:rFonts w:hint="default" w:ascii="宋体" w:hAnsi="宋体" w:eastAsia="宋体" w:cs="宋体"/>
                <w:color w:val="auto"/>
                <w:kern w:val="0"/>
                <w:sz w:val="24"/>
                <w:szCs w:val="24"/>
                <w:lang w:val="en-US"/>
              </w:rPr>
            </w:pPr>
            <w:r>
              <w:rPr>
                <w:rFonts w:hint="eastAsia" w:ascii="宋体" w:hAnsi="宋体" w:eastAsia="宋体" w:cs="宋体"/>
                <w:bCs/>
                <w:color w:val="auto"/>
                <w:kern w:val="0"/>
                <w:sz w:val="24"/>
                <w:szCs w:val="24"/>
                <w:lang w:val="en-US" w:eastAsia="zh-CN"/>
              </w:rPr>
              <w:t>实质性要求</w:t>
            </w:r>
          </w:p>
        </w:tc>
        <w:tc>
          <w:tcPr>
            <w:tcW w:w="632" w:type="dxa"/>
          </w:tcPr>
          <w:p>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8590" w:type="dxa"/>
          </w:tcPr>
          <w:p>
            <w:pPr>
              <w:pStyle w:val="5"/>
              <w:rPr>
                <w:rFonts w:ascii="宋体" w:hAnsi="宋体" w:eastAsia="宋体" w:cs="宋体"/>
                <w:color w:val="auto"/>
                <w:kern w:val="0"/>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16.</w:t>
            </w:r>
            <w:r>
              <w:rPr>
                <w:rFonts w:hint="eastAsia" w:ascii="宋体" w:hAnsi="宋体" w:eastAsia="宋体" w:cs="宋体"/>
                <w:color w:val="auto"/>
                <w:kern w:val="2"/>
                <w:sz w:val="21"/>
                <w:szCs w:val="21"/>
                <w:lang w:val="en-US" w:eastAsia="zh-CN" w:bidi="ar-SA"/>
              </w:rPr>
              <w:t>平安西华监控指挥中心内含平安西华监控一期（清华同方）、平安西华监控二期（海康威视）、平安西华人脸识别系统、西华大学考务系统（竞业达）、研究生考试标准化考点系统（竞业达），及学校新建成的视频云存储系统，中标人需升级融合各系统操作。确保校方正常使用，升级融合过程中所需的其他软硬件设备由中标人负责，校方不再另行支付费用。（提供承诺函）</w:t>
            </w:r>
          </w:p>
        </w:tc>
      </w:tr>
    </w:tbl>
    <w:p>
      <w:pPr>
        <w:pStyle w:val="5"/>
        <w:rPr>
          <w:color w:val="auto"/>
          <w:sz w:val="24"/>
        </w:rPr>
      </w:pPr>
    </w:p>
    <w:p>
      <w:pPr>
        <w:pStyle w:val="5"/>
        <w:rPr>
          <w:color w:val="auto"/>
          <w:sz w:val="24"/>
        </w:rPr>
      </w:pPr>
    </w:p>
    <w:p>
      <w:pPr>
        <w:pStyle w:val="5"/>
        <w:rPr>
          <w:color w:val="auto"/>
          <w:sz w:val="24"/>
        </w:rPr>
      </w:pPr>
    </w:p>
    <w:p>
      <w:pPr>
        <w:widowControl/>
        <w:shd w:val="clear" w:color="auto" w:fill="FFFFFF"/>
        <w:spacing w:line="480" w:lineRule="auto"/>
        <w:ind w:firstLine="360" w:firstLineChars="150"/>
        <w:rPr>
          <w:color w:val="auto"/>
          <w:sz w:val="24"/>
        </w:rPr>
      </w:pPr>
      <w:r>
        <w:rPr>
          <w:rFonts w:hint="eastAsia"/>
          <w:color w:val="auto"/>
          <w:sz w:val="24"/>
        </w:rPr>
        <w:t>品目信息二的</w:t>
      </w:r>
      <w:r>
        <w:rPr>
          <w:color w:val="auto"/>
          <w:sz w:val="24"/>
        </w:rPr>
        <w:t>标的参数</w:t>
      </w:r>
      <w:r>
        <w:rPr>
          <w:rFonts w:hint="eastAsia"/>
          <w:color w:val="auto"/>
          <w:sz w:val="24"/>
        </w:rPr>
        <w:t>：</w:t>
      </w:r>
      <w:r>
        <w:rPr>
          <w:color w:val="auto"/>
          <w:sz w:val="24"/>
        </w:rPr>
        <w:t>（</w:t>
      </w:r>
      <w:r>
        <w:rPr>
          <w:rFonts w:hint="eastAsia"/>
          <w:color w:val="auto"/>
          <w:sz w:val="24"/>
        </w:rPr>
        <w:t>如有</w:t>
      </w:r>
      <w:r>
        <w:rPr>
          <w:color w:val="auto"/>
          <w:sz w:val="24"/>
        </w:rPr>
        <w:t>，请复制</w:t>
      </w:r>
      <w:r>
        <w:rPr>
          <w:rFonts w:hint="eastAsia"/>
          <w:color w:val="auto"/>
          <w:sz w:val="24"/>
        </w:rPr>
        <w:t>参数</w:t>
      </w:r>
      <w:r>
        <w:rPr>
          <w:color w:val="auto"/>
          <w:sz w:val="24"/>
        </w:rPr>
        <w:t>表</w:t>
      </w:r>
      <w:r>
        <w:rPr>
          <w:rFonts w:hint="eastAsia"/>
          <w:color w:val="auto"/>
          <w:sz w:val="24"/>
        </w:rPr>
        <w:t>填写</w:t>
      </w:r>
      <w:r>
        <w:rPr>
          <w:color w:val="auto"/>
          <w:sz w:val="24"/>
        </w:rPr>
        <w:t>）</w:t>
      </w:r>
    </w:p>
    <w:p>
      <w:pPr>
        <w:widowControl/>
        <w:shd w:val="clear" w:color="auto" w:fill="FFFFFF"/>
        <w:spacing w:line="480" w:lineRule="auto"/>
        <w:ind w:firstLine="360" w:firstLineChars="150"/>
        <w:rPr>
          <w:color w:val="auto"/>
          <w:sz w:val="24"/>
        </w:rPr>
      </w:pPr>
      <w:r>
        <w:rPr>
          <w:rFonts w:hint="eastAsia"/>
          <w:color w:val="auto"/>
          <w:sz w:val="24"/>
        </w:rPr>
        <w:t>品目信息三的</w:t>
      </w:r>
      <w:r>
        <w:rPr>
          <w:color w:val="auto"/>
          <w:sz w:val="24"/>
        </w:rPr>
        <w:t>标的参数</w:t>
      </w:r>
      <w:r>
        <w:rPr>
          <w:rFonts w:hint="eastAsia"/>
          <w:color w:val="auto"/>
          <w:sz w:val="24"/>
        </w:rPr>
        <w:t>：</w:t>
      </w:r>
      <w:r>
        <w:rPr>
          <w:color w:val="auto"/>
          <w:sz w:val="24"/>
        </w:rPr>
        <w:t>（</w:t>
      </w:r>
      <w:r>
        <w:rPr>
          <w:rFonts w:hint="eastAsia"/>
          <w:color w:val="auto"/>
          <w:sz w:val="24"/>
        </w:rPr>
        <w:t>如有</w:t>
      </w:r>
      <w:r>
        <w:rPr>
          <w:color w:val="auto"/>
          <w:sz w:val="24"/>
        </w:rPr>
        <w:t>，请复制</w:t>
      </w:r>
      <w:r>
        <w:rPr>
          <w:rFonts w:hint="eastAsia"/>
          <w:color w:val="auto"/>
          <w:sz w:val="24"/>
        </w:rPr>
        <w:t>参数</w:t>
      </w:r>
      <w:r>
        <w:rPr>
          <w:color w:val="auto"/>
          <w:sz w:val="24"/>
        </w:rPr>
        <w:t>表</w:t>
      </w:r>
      <w:r>
        <w:rPr>
          <w:rFonts w:hint="eastAsia"/>
          <w:color w:val="auto"/>
          <w:sz w:val="24"/>
        </w:rPr>
        <w:t>填写</w:t>
      </w:r>
      <w:r>
        <w:rPr>
          <w:color w:val="auto"/>
          <w:sz w:val="24"/>
        </w:rPr>
        <w:t>）</w:t>
      </w:r>
    </w:p>
    <w:p>
      <w:pPr>
        <w:widowControl/>
        <w:shd w:val="clear" w:color="auto" w:fill="FFFFFF"/>
        <w:spacing w:line="480" w:lineRule="auto"/>
        <w:ind w:firstLine="360" w:firstLineChars="150"/>
        <w:rPr>
          <w:rFonts w:ascii="宋体" w:hAnsi="宋体" w:eastAsia="宋体" w:cs="宋体"/>
          <w:color w:val="auto"/>
          <w:kern w:val="0"/>
          <w:sz w:val="24"/>
          <w:szCs w:val="24"/>
        </w:rPr>
      </w:pPr>
      <w:r>
        <w:rPr>
          <w:rFonts w:hint="eastAsia"/>
          <w:color w:val="auto"/>
          <w:sz w:val="24"/>
        </w:rPr>
        <w:t>……</w:t>
      </w:r>
    </w:p>
    <w:p>
      <w:pPr>
        <w:widowControl/>
        <w:shd w:val="clear" w:color="auto" w:fill="FFFFFF"/>
        <w:spacing w:line="480" w:lineRule="auto"/>
        <w:ind w:firstLine="360" w:firstLineChars="150"/>
        <w:rPr>
          <w:rFonts w:ascii="宋体" w:hAnsi="宋体" w:eastAsia="宋体" w:cs="宋体"/>
          <w:color w:val="auto"/>
          <w:kern w:val="0"/>
          <w:sz w:val="24"/>
          <w:szCs w:val="24"/>
        </w:rPr>
      </w:pPr>
      <w:r>
        <w:rPr>
          <w:rFonts w:hint="eastAsia" w:ascii="宋体" w:hAnsi="宋体" w:eastAsia="宋体" w:cs="宋体"/>
          <w:color w:val="auto"/>
          <w:kern w:val="0"/>
          <w:sz w:val="24"/>
          <w:szCs w:val="24"/>
        </w:rPr>
        <w:t>评审</w:t>
      </w:r>
      <w:r>
        <w:rPr>
          <w:rFonts w:ascii="宋体" w:hAnsi="宋体" w:eastAsia="宋体" w:cs="宋体"/>
          <w:color w:val="auto"/>
          <w:kern w:val="0"/>
          <w:sz w:val="24"/>
          <w:szCs w:val="24"/>
        </w:rPr>
        <w:t>条款</w:t>
      </w:r>
      <w:r>
        <w:rPr>
          <w:rFonts w:hint="eastAsia" w:ascii="宋体" w:hAnsi="宋体" w:eastAsia="宋体" w:cs="宋体"/>
          <w:color w:val="auto"/>
          <w:kern w:val="0"/>
          <w:sz w:val="24"/>
          <w:szCs w:val="24"/>
        </w:rPr>
        <w:t>：</w:t>
      </w:r>
    </w:p>
    <w:p>
      <w:pPr>
        <w:widowControl/>
        <w:shd w:val="clear" w:color="auto" w:fill="FFFFFF"/>
        <w:spacing w:line="480" w:lineRule="auto"/>
        <w:ind w:firstLine="360" w:firstLineChars="150"/>
        <w:rPr>
          <w:rFonts w:ascii="宋体" w:hAnsi="宋体" w:eastAsia="宋体" w:cs="宋体"/>
          <w:color w:val="auto"/>
          <w:kern w:val="0"/>
          <w:sz w:val="24"/>
          <w:szCs w:val="24"/>
        </w:rPr>
      </w:pP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综合评分法      </w:t>
      </w:r>
    </w:p>
    <w:tbl>
      <w:tblPr>
        <w:tblStyle w:val="10"/>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915"/>
        <w:gridCol w:w="1701"/>
        <w:gridCol w:w="4961"/>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Pr>
          <w:p>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评审项编号</w:t>
            </w:r>
          </w:p>
        </w:tc>
        <w:tc>
          <w:tcPr>
            <w:tcW w:w="915" w:type="dxa"/>
          </w:tcPr>
          <w:p>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一级评审项</w:t>
            </w:r>
          </w:p>
        </w:tc>
        <w:tc>
          <w:tcPr>
            <w:tcW w:w="1701" w:type="dxa"/>
          </w:tcPr>
          <w:p>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二级评审项</w:t>
            </w:r>
          </w:p>
        </w:tc>
        <w:tc>
          <w:tcPr>
            <w:tcW w:w="4961" w:type="dxa"/>
          </w:tcPr>
          <w:p>
            <w:pPr>
              <w:widowControl/>
              <w:spacing w:line="480" w:lineRule="auto"/>
              <w:jc w:val="center"/>
              <w:rPr>
                <w:rFonts w:ascii="宋体" w:hAnsi="宋体" w:eastAsia="宋体" w:cs="宋体"/>
                <w:b/>
                <w:color w:val="auto"/>
                <w:kern w:val="0"/>
                <w:sz w:val="22"/>
                <w:szCs w:val="24"/>
              </w:rPr>
            </w:pPr>
            <w:r>
              <w:rPr>
                <w:rFonts w:hint="eastAsia" w:ascii="宋体" w:hAnsi="宋体" w:eastAsia="宋体" w:cs="宋体"/>
                <w:b/>
                <w:color w:val="auto"/>
                <w:kern w:val="0"/>
                <w:sz w:val="22"/>
                <w:szCs w:val="24"/>
              </w:rPr>
              <w:t>详细要求</w:t>
            </w:r>
          </w:p>
        </w:tc>
        <w:tc>
          <w:tcPr>
            <w:tcW w:w="851" w:type="dxa"/>
          </w:tcPr>
          <w:p>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分值</w:t>
            </w:r>
          </w:p>
        </w:tc>
        <w:tc>
          <w:tcPr>
            <w:tcW w:w="1417" w:type="dxa"/>
          </w:tcPr>
          <w:p>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Align w:val="top"/>
          </w:tcPr>
          <w:p>
            <w:pPr>
              <w:widowControl/>
              <w:spacing w:line="480" w:lineRule="auto"/>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p>
        </w:tc>
        <w:tc>
          <w:tcPr>
            <w:tcW w:w="915" w:type="dxa"/>
            <w:vAlign w:val="top"/>
          </w:tcPr>
          <w:p>
            <w:pPr>
              <w:widowControl/>
              <w:spacing w:line="480" w:lineRule="auto"/>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价格</w:t>
            </w:r>
          </w:p>
        </w:tc>
        <w:tc>
          <w:tcPr>
            <w:tcW w:w="1701" w:type="dxa"/>
            <w:vAlign w:val="top"/>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报价30%</w:t>
            </w:r>
          </w:p>
          <w:p>
            <w:pPr>
              <w:jc w:val="both"/>
              <w:rPr>
                <w:rFonts w:ascii="宋体" w:hAnsi="宋体" w:eastAsia="宋体" w:cs="宋体"/>
                <w:color w:val="auto"/>
                <w:kern w:val="0"/>
                <w:sz w:val="24"/>
                <w:szCs w:val="24"/>
              </w:rPr>
            </w:pPr>
          </w:p>
        </w:tc>
        <w:tc>
          <w:tcPr>
            <w:tcW w:w="4961" w:type="dxa"/>
            <w:vAlign w:val="top"/>
          </w:tcPr>
          <w:p>
            <w:pPr>
              <w:jc w:val="both"/>
              <w:rPr>
                <w:rFonts w:ascii="宋体" w:hAnsi="宋体" w:eastAsia="宋体" w:cs="宋体"/>
                <w:color w:val="auto"/>
                <w:kern w:val="0"/>
                <w:sz w:val="24"/>
                <w:szCs w:val="24"/>
              </w:rPr>
            </w:pPr>
            <w:r>
              <w:rPr>
                <w:rFonts w:hint="eastAsia" w:ascii="宋体" w:hAnsi="宋体" w:eastAsia="宋体" w:cs="宋体"/>
                <w:color w:val="auto"/>
                <w:sz w:val="21"/>
                <w:szCs w:val="21"/>
              </w:rPr>
              <w:t>满足招标文件要求且投标价格最低的报价为基准价，其价格分为满分。其他供应商的价格分统一按照下列公式计算：报价得分=(基准价／报价)* 30%*100</w:t>
            </w:r>
          </w:p>
        </w:tc>
        <w:tc>
          <w:tcPr>
            <w:tcW w:w="851" w:type="dxa"/>
            <w:vAlign w:val="top"/>
          </w:tcPr>
          <w:p>
            <w:pPr>
              <w:widowControl/>
              <w:spacing w:line="480" w:lineRule="auto"/>
              <w:jc w:val="both"/>
              <w:rPr>
                <w:rFonts w:ascii="宋体" w:hAnsi="宋体" w:eastAsia="宋体" w:cs="宋体"/>
                <w:color w:val="auto"/>
                <w:kern w:val="0"/>
                <w:sz w:val="24"/>
                <w:szCs w:val="24"/>
              </w:rPr>
            </w:pPr>
          </w:p>
        </w:tc>
        <w:tc>
          <w:tcPr>
            <w:tcW w:w="1417" w:type="dxa"/>
          </w:tcPr>
          <w:p>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Align w:val="top"/>
          </w:tcPr>
          <w:p>
            <w:pPr>
              <w:widowControl/>
              <w:spacing w:line="480" w:lineRule="auto"/>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915" w:type="dxa"/>
            <w:vAlign w:val="top"/>
          </w:tcPr>
          <w:p>
            <w:pPr>
              <w:widowControl/>
              <w:spacing w:line="480" w:lineRule="auto"/>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技术</w:t>
            </w:r>
          </w:p>
        </w:tc>
        <w:tc>
          <w:tcPr>
            <w:tcW w:w="1701" w:type="dxa"/>
            <w:vAlign w:val="top"/>
          </w:tcPr>
          <w:p>
            <w:pPr>
              <w:jc w:val="both"/>
              <w:rPr>
                <w:rFonts w:ascii="宋体" w:hAnsi="宋体" w:eastAsia="宋体" w:cs="宋体"/>
                <w:color w:val="auto"/>
                <w:kern w:val="0"/>
                <w:sz w:val="24"/>
                <w:szCs w:val="24"/>
              </w:rPr>
            </w:pPr>
            <w:r>
              <w:rPr>
                <w:rFonts w:hint="eastAsia" w:ascii="宋体" w:hAnsi="宋体" w:eastAsia="宋体" w:cs="宋体"/>
                <w:color w:val="auto"/>
                <w:sz w:val="21"/>
                <w:szCs w:val="21"/>
              </w:rPr>
              <w:t>技术、服务要求</w:t>
            </w:r>
            <w:r>
              <w:rPr>
                <w:rFonts w:hint="eastAsia" w:ascii="宋体" w:hAnsi="宋体" w:eastAsia="宋体" w:cs="宋体"/>
                <w:color w:val="auto"/>
                <w:sz w:val="21"/>
                <w:szCs w:val="21"/>
                <w:lang w:val="en-US" w:eastAsia="zh-CN"/>
              </w:rPr>
              <w:t>46</w:t>
            </w:r>
            <w:r>
              <w:rPr>
                <w:rFonts w:hint="eastAsia" w:ascii="宋体" w:hAnsi="宋体" w:eastAsia="宋体" w:cs="宋体"/>
                <w:color w:val="auto"/>
                <w:sz w:val="21"/>
                <w:szCs w:val="21"/>
              </w:rPr>
              <w:t>%</w:t>
            </w:r>
          </w:p>
        </w:tc>
        <w:tc>
          <w:tcPr>
            <w:tcW w:w="4961" w:type="dxa"/>
            <w:vAlign w:val="top"/>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投标人技术服务基准分为</w:t>
            </w:r>
            <w:r>
              <w:rPr>
                <w:rFonts w:hint="eastAsia" w:ascii="宋体" w:hAnsi="宋体" w:eastAsia="宋体" w:cs="宋体"/>
                <w:color w:val="auto"/>
                <w:sz w:val="21"/>
                <w:szCs w:val="21"/>
                <w:lang w:val="en-US" w:eastAsia="zh-CN"/>
              </w:rPr>
              <w:t>46</w:t>
            </w:r>
            <w:r>
              <w:rPr>
                <w:rFonts w:hint="eastAsia" w:ascii="宋体" w:hAnsi="宋体" w:eastAsia="宋体" w:cs="宋体"/>
                <w:color w:val="auto"/>
                <w:sz w:val="21"/>
                <w:szCs w:val="21"/>
              </w:rPr>
              <w:t>分，以此为基准进行评分；</w:t>
            </w:r>
          </w:p>
          <w:p>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1.技术</w:t>
            </w:r>
            <w:r>
              <w:rPr>
                <w:rFonts w:hint="eastAsia" w:ascii="宋体" w:hAnsi="宋体" w:eastAsia="宋体" w:cs="宋体"/>
                <w:color w:val="auto"/>
                <w:sz w:val="21"/>
                <w:szCs w:val="21"/>
              </w:rPr>
              <w:t>服务要求中的非▲号项共</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项，每有一项不满足扣</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分，共计</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分，扣完为止。</w:t>
            </w:r>
          </w:p>
          <w:p>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2.技术</w:t>
            </w:r>
            <w:r>
              <w:rPr>
                <w:rFonts w:hint="eastAsia" w:ascii="宋体" w:hAnsi="宋体" w:eastAsia="宋体" w:cs="宋体"/>
                <w:color w:val="auto"/>
                <w:sz w:val="21"/>
                <w:szCs w:val="21"/>
              </w:rPr>
              <w:t>服务要求中的▲号项共</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条，每有一项不满足扣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分，共计</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分，扣完为止。</w:t>
            </w:r>
          </w:p>
          <w:p>
            <w:pPr>
              <w:pStyle w:val="5"/>
              <w:jc w:val="both"/>
              <w:rPr>
                <w:rFonts w:ascii="宋体" w:hAnsi="宋体" w:eastAsia="宋体" w:cs="宋体"/>
                <w:color w:val="auto"/>
                <w:kern w:val="0"/>
                <w:sz w:val="24"/>
                <w:szCs w:val="24"/>
              </w:rPr>
            </w:pPr>
            <w:r>
              <w:rPr>
                <w:rFonts w:hint="eastAsia" w:ascii="宋体" w:hAnsi="宋体" w:eastAsia="宋体" w:cs="宋体"/>
                <w:color w:val="auto"/>
                <w:sz w:val="21"/>
                <w:szCs w:val="21"/>
                <w:lang w:val="en-US" w:eastAsia="zh-CN"/>
              </w:rPr>
              <w:t>3.前两项汇总得出技术服务总得分。</w:t>
            </w:r>
          </w:p>
        </w:tc>
        <w:tc>
          <w:tcPr>
            <w:tcW w:w="851" w:type="dxa"/>
            <w:vAlign w:val="top"/>
          </w:tcPr>
          <w:p>
            <w:pPr>
              <w:widowControl/>
              <w:spacing w:line="480" w:lineRule="auto"/>
              <w:jc w:val="both"/>
              <w:rPr>
                <w:rFonts w:ascii="宋体" w:hAnsi="宋体" w:eastAsia="宋体" w:cs="宋体"/>
                <w:color w:val="auto"/>
                <w:kern w:val="0"/>
                <w:sz w:val="24"/>
                <w:szCs w:val="24"/>
              </w:rPr>
            </w:pPr>
          </w:p>
        </w:tc>
        <w:tc>
          <w:tcPr>
            <w:tcW w:w="1417"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Align w:val="top"/>
          </w:tcPr>
          <w:p>
            <w:pPr>
              <w:widowControl/>
              <w:spacing w:line="48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915" w:type="dxa"/>
            <w:vAlign w:val="top"/>
          </w:tcPr>
          <w:p>
            <w:pPr>
              <w:widowControl/>
              <w:spacing w:line="48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p>
        </w:tc>
        <w:tc>
          <w:tcPr>
            <w:tcW w:w="1701" w:type="dxa"/>
            <w:vAlign w:val="top"/>
          </w:tcPr>
          <w:p>
            <w:pPr>
              <w:jc w:val="both"/>
              <w:rPr>
                <w:rFonts w:ascii="宋体" w:hAnsi="宋体" w:eastAsia="宋体" w:cs="宋体"/>
                <w:color w:val="auto"/>
                <w:kern w:val="0"/>
                <w:sz w:val="24"/>
                <w:szCs w:val="24"/>
              </w:rPr>
            </w:pPr>
            <w:r>
              <w:rPr>
                <w:rFonts w:hint="eastAsia" w:ascii="宋体" w:hAnsi="宋体" w:eastAsia="宋体" w:cs="宋体"/>
                <w:color w:val="auto"/>
                <w:sz w:val="21"/>
                <w:szCs w:val="21"/>
              </w:rPr>
              <w:t>维保服务实施方案18%</w:t>
            </w:r>
          </w:p>
        </w:tc>
        <w:tc>
          <w:tcPr>
            <w:tcW w:w="4961" w:type="dxa"/>
            <w:vAlign w:val="top"/>
          </w:tcPr>
          <w:p>
            <w:pPr>
              <w:jc w:val="both"/>
              <w:rPr>
                <w:rFonts w:ascii="宋体" w:hAnsi="宋体" w:eastAsia="宋体" w:cs="宋体"/>
                <w:color w:val="auto"/>
                <w:kern w:val="0"/>
                <w:sz w:val="24"/>
                <w:szCs w:val="24"/>
              </w:rPr>
            </w:pPr>
            <w:r>
              <w:rPr>
                <w:rFonts w:hint="eastAsia" w:ascii="宋体" w:hAnsi="宋体" w:eastAsia="宋体" w:cs="宋体"/>
                <w:color w:val="auto"/>
                <w:sz w:val="21"/>
                <w:szCs w:val="21"/>
              </w:rPr>
              <w:t>根据投标人针对本项目拟定的维保服务实施方案进行评分（含服务目标、维保服务人员配置、服务措施、质量保证、突出问题处理方法、对用户的响应以及与用户的沟通和联系等内容）得18分，每缺一项扣3分，扣完为止。</w:t>
            </w:r>
          </w:p>
        </w:tc>
        <w:tc>
          <w:tcPr>
            <w:tcW w:w="851" w:type="dxa"/>
            <w:vAlign w:val="top"/>
          </w:tcPr>
          <w:p>
            <w:pPr>
              <w:widowControl/>
              <w:spacing w:line="480" w:lineRule="auto"/>
              <w:jc w:val="both"/>
              <w:rPr>
                <w:rFonts w:ascii="宋体" w:hAnsi="宋体" w:eastAsia="宋体" w:cs="宋体"/>
                <w:color w:val="auto"/>
                <w:kern w:val="0"/>
                <w:sz w:val="24"/>
                <w:szCs w:val="24"/>
              </w:rPr>
            </w:pPr>
          </w:p>
        </w:tc>
        <w:tc>
          <w:tcPr>
            <w:tcW w:w="1417"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Align w:val="top"/>
          </w:tcPr>
          <w:p>
            <w:pPr>
              <w:widowControl/>
              <w:spacing w:line="480" w:lineRule="auto"/>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915" w:type="dxa"/>
            <w:vAlign w:val="top"/>
          </w:tcPr>
          <w:p>
            <w:pPr>
              <w:widowControl/>
              <w:spacing w:line="48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p>
        </w:tc>
        <w:tc>
          <w:tcPr>
            <w:tcW w:w="1701" w:type="dxa"/>
            <w:vAlign w:val="top"/>
          </w:tcPr>
          <w:p>
            <w:pPr>
              <w:jc w:val="both"/>
              <w:rPr>
                <w:rFonts w:ascii="宋体" w:hAnsi="宋体" w:eastAsia="宋体" w:cs="宋体"/>
                <w:color w:val="auto"/>
                <w:kern w:val="0"/>
                <w:sz w:val="24"/>
                <w:szCs w:val="24"/>
              </w:rPr>
            </w:pPr>
            <w:r>
              <w:rPr>
                <w:rFonts w:hint="eastAsia" w:ascii="宋体" w:hAnsi="宋体" w:eastAsia="宋体" w:cs="宋体"/>
                <w:color w:val="auto"/>
                <w:sz w:val="21"/>
                <w:szCs w:val="21"/>
              </w:rPr>
              <w:t>履约能力</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p>
        </w:tc>
        <w:tc>
          <w:tcPr>
            <w:tcW w:w="4961" w:type="dxa"/>
            <w:vAlign w:val="top"/>
          </w:tcPr>
          <w:p>
            <w:pPr>
              <w:jc w:val="both"/>
              <w:rPr>
                <w:rFonts w:ascii="宋体" w:hAnsi="宋体" w:eastAsia="宋体" w:cs="宋体"/>
                <w:color w:val="auto"/>
                <w:kern w:val="0"/>
                <w:sz w:val="24"/>
                <w:szCs w:val="24"/>
              </w:rPr>
            </w:pPr>
            <w:r>
              <w:rPr>
                <w:rFonts w:hint="eastAsia" w:ascii="宋体" w:hAnsi="宋体" w:eastAsia="宋体" w:cs="宋体"/>
                <w:color w:val="auto"/>
                <w:sz w:val="21"/>
                <w:szCs w:val="21"/>
              </w:rPr>
              <w:t>投标人 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 xml:space="preserve"> 年 1 月 1 日（含 1 日）以来，每有一项类似项目业绩得 </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分， 最多得 </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 注：提供项目的中标（成交）通知书或合同（协议）复印件、采购方联系人及电话，所有复印件须加盖投标人公章，未提供完整不得分。</w:t>
            </w:r>
          </w:p>
        </w:tc>
        <w:tc>
          <w:tcPr>
            <w:tcW w:w="851" w:type="dxa"/>
            <w:vAlign w:val="top"/>
          </w:tcPr>
          <w:p>
            <w:pPr>
              <w:widowControl/>
              <w:spacing w:line="480" w:lineRule="auto"/>
              <w:jc w:val="both"/>
              <w:rPr>
                <w:rFonts w:ascii="宋体" w:hAnsi="宋体" w:eastAsia="宋体" w:cs="宋体"/>
                <w:color w:val="auto"/>
                <w:kern w:val="0"/>
                <w:sz w:val="24"/>
                <w:szCs w:val="24"/>
              </w:rPr>
            </w:pPr>
          </w:p>
        </w:tc>
        <w:tc>
          <w:tcPr>
            <w:tcW w:w="1417" w:type="dxa"/>
          </w:tcPr>
          <w:p>
            <w:pPr>
              <w:widowControl/>
              <w:spacing w:line="480" w:lineRule="auto"/>
              <w:rPr>
                <w:rFonts w:ascii="宋体" w:hAnsi="宋体" w:eastAsia="宋体" w:cs="宋体"/>
                <w:color w:val="auto"/>
                <w:kern w:val="0"/>
                <w:sz w:val="24"/>
                <w:szCs w:val="24"/>
              </w:rPr>
            </w:pPr>
          </w:p>
        </w:tc>
      </w:tr>
    </w:tbl>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□最低</w:t>
      </w:r>
      <w:r>
        <w:rPr>
          <w:rFonts w:ascii="宋体" w:hAnsi="宋体" w:eastAsia="宋体" w:cs="宋体"/>
          <w:color w:val="auto"/>
          <w:kern w:val="0"/>
          <w:sz w:val="24"/>
          <w:szCs w:val="24"/>
        </w:rPr>
        <w:t>评标价法</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评审因素： </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扣除比例</w:t>
      </w:r>
      <w:r>
        <w:rPr>
          <w:rFonts w:ascii="宋体" w:hAnsi="宋体" w:eastAsia="宋体" w:cs="宋体"/>
          <w:color w:val="auto"/>
          <w:kern w:val="0"/>
          <w:sz w:val="24"/>
          <w:szCs w:val="24"/>
        </w:rPr>
        <w:t>%：</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评审标准：</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8、合同管理安排</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1）合同类型：买卖合同</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租赁合同□  建设工程合同□  技术合同□  委托合同□  物业管理合同□  其他合同□</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）合同履行期限：自合同签订之日起</w:t>
      </w:r>
      <w:r>
        <w:rPr>
          <w:rFonts w:hint="eastAsia" w:ascii="宋体" w:hAnsi="宋体" w:eastAsia="宋体" w:cs="宋体"/>
          <w:color w:val="auto"/>
          <w:kern w:val="0"/>
          <w:sz w:val="24"/>
          <w:szCs w:val="24"/>
          <w:lang w:val="en-US" w:eastAsia="zh-CN"/>
        </w:rPr>
        <w:t>365</w:t>
      </w:r>
      <w:r>
        <w:rPr>
          <w:color w:val="auto"/>
        </w:rPr>
        <w:t xml:space="preserve">  </w:t>
      </w:r>
      <w:r>
        <w:rPr>
          <w:rFonts w:hint="eastAsia" w:ascii="宋体" w:hAnsi="宋体" w:eastAsia="宋体" w:cs="宋体"/>
          <w:color w:val="auto"/>
          <w:kern w:val="0"/>
          <w:sz w:val="24"/>
          <w:szCs w:val="24"/>
        </w:rPr>
        <w:t>日</w:t>
      </w:r>
    </w:p>
    <w:p>
      <w:pPr>
        <w:widowControl/>
        <w:shd w:val="clear" w:color="auto" w:fill="FFFFFF"/>
        <w:spacing w:line="480" w:lineRule="auto"/>
        <w:ind w:firstLine="840"/>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）合同履约地点：</w:t>
      </w:r>
      <w:r>
        <w:rPr>
          <w:rFonts w:hint="eastAsia" w:ascii="宋体" w:hAnsi="宋体" w:eastAsia="宋体" w:cs="宋体"/>
          <w:color w:val="auto"/>
          <w:kern w:val="0"/>
          <w:sz w:val="24"/>
          <w:szCs w:val="24"/>
          <w:lang w:val="en-US" w:eastAsia="zh-CN"/>
        </w:rPr>
        <w:t>西华大学郫都校区及彭州校区</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）支付方式：</w:t>
      </w:r>
      <w:r>
        <w:rPr>
          <w:rFonts w:hint="eastAsia"/>
          <w:color w:val="auto"/>
          <w:sz w:val="24"/>
        </w:rPr>
        <w:t>一次付清</w:t>
      </w:r>
      <w:r>
        <w:rPr>
          <w:rFonts w:hint="eastAsia" w:ascii="宋体" w:hAnsi="宋体" w:eastAsia="宋体" w:cs="宋体"/>
          <w:color w:val="auto"/>
          <w:kern w:val="0"/>
          <w:sz w:val="24"/>
          <w:szCs w:val="24"/>
        </w:rPr>
        <w:t>□</w:t>
      </w:r>
      <w:r>
        <w:rPr>
          <w:rFonts w:hint="eastAsia"/>
          <w:color w:val="auto"/>
          <w:sz w:val="24"/>
        </w:rPr>
        <w:t xml:space="preserve">   分期付款</w:t>
      </w:r>
      <w:r>
        <w:rPr>
          <w:rFonts w:hint="eastAsia" w:ascii="宋体" w:hAnsi="宋体" w:eastAsia="宋体" w:cs="宋体"/>
          <w:color w:val="auto"/>
          <w:kern w:val="0"/>
          <w:sz w:val="24"/>
          <w:szCs w:val="24"/>
        </w:rPr>
        <w:sym w:font="Wingdings 2" w:char="0052"/>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比例</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合同签订后支付50%，验收完成后支付50%。</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（0</w:t>
      </w:r>
      <w:r>
        <w:rPr>
          <w:rFonts w:ascii="宋体" w:hAnsi="宋体" w:eastAsia="宋体" w:cs="宋体"/>
          <w:color w:val="auto"/>
          <w:kern w:val="0"/>
          <w:sz w:val="24"/>
          <w:szCs w:val="24"/>
        </w:rPr>
        <w:t>-100%可选</w:t>
      </w:r>
      <w:r>
        <w:rPr>
          <w:rFonts w:hint="eastAsia" w:ascii="宋体" w:hAnsi="宋体" w:eastAsia="宋体" w:cs="宋体"/>
          <w:color w:val="auto"/>
          <w:kern w:val="0"/>
          <w:sz w:val="24"/>
          <w:szCs w:val="24"/>
        </w:rPr>
        <w:t>）</w:t>
      </w:r>
    </w:p>
    <w:p>
      <w:pPr>
        <w:ind w:firstLine="840" w:firstLineChars="300"/>
        <w:rPr>
          <w:color w:val="auto"/>
          <w:sz w:val="28"/>
        </w:rPr>
      </w:pPr>
      <w:r>
        <w:rPr>
          <w:color w:val="auto"/>
          <w:sz w:val="28"/>
        </w:rPr>
        <w:t>5</w:t>
      </w:r>
      <w:r>
        <w:rPr>
          <w:rFonts w:hint="eastAsia"/>
          <w:color w:val="auto"/>
          <w:sz w:val="28"/>
        </w:rPr>
        <w:t>）履约保证金及缴纳形式：</w:t>
      </w:r>
    </w:p>
    <w:p>
      <w:pPr>
        <w:ind w:firstLine="840" w:firstLineChars="300"/>
        <w:rPr>
          <w:color w:val="auto"/>
          <w:sz w:val="28"/>
        </w:rPr>
      </w:pPr>
      <w:r>
        <w:rPr>
          <w:rFonts w:hint="eastAsia"/>
          <w:color w:val="auto"/>
          <w:sz w:val="28"/>
        </w:rPr>
        <w:t>中标/成交供应商是否需要缴纳履约保证金：是</w:t>
      </w:r>
    </w:p>
    <w:p>
      <w:pPr>
        <w:ind w:firstLine="840" w:firstLineChars="300"/>
        <w:rPr>
          <w:color w:val="auto"/>
          <w:sz w:val="28"/>
        </w:rPr>
      </w:pPr>
      <w:r>
        <w:rPr>
          <w:rFonts w:hint="eastAsia"/>
          <w:color w:val="auto"/>
          <w:sz w:val="28"/>
        </w:rPr>
        <w:t>履约保证金缴纳比例：5%</w:t>
      </w:r>
    </w:p>
    <w:p>
      <w:pPr>
        <w:ind w:firstLine="840" w:firstLineChars="300"/>
        <w:rPr>
          <w:color w:val="auto"/>
          <w:sz w:val="28"/>
        </w:rPr>
      </w:pPr>
      <w:r>
        <w:rPr>
          <w:rFonts w:hint="eastAsia"/>
          <w:color w:val="auto"/>
          <w:sz w:val="28"/>
        </w:rPr>
        <w:t>缴纳方式：银行转账</w:t>
      </w:r>
    </w:p>
    <w:p>
      <w:pPr>
        <w:ind w:firstLine="840" w:firstLineChars="300"/>
        <w:rPr>
          <w:color w:val="auto"/>
          <w:sz w:val="28"/>
        </w:rPr>
      </w:pPr>
      <w:r>
        <w:rPr>
          <w:rFonts w:hint="eastAsia"/>
          <w:color w:val="auto"/>
          <w:sz w:val="28"/>
        </w:rPr>
        <w:t>缴纳说明：缴纳履约保证金后签订合同</w:t>
      </w:r>
    </w:p>
    <w:p>
      <w:pPr>
        <w:ind w:firstLine="840" w:firstLineChars="300"/>
        <w:rPr>
          <w:color w:val="auto"/>
          <w:sz w:val="28"/>
        </w:rPr>
      </w:pPr>
      <w:r>
        <w:rPr>
          <w:color w:val="auto"/>
          <w:sz w:val="28"/>
        </w:rPr>
        <w:t>6</w:t>
      </w:r>
      <w:r>
        <w:rPr>
          <w:rFonts w:hint="eastAsia"/>
          <w:color w:val="auto"/>
          <w:sz w:val="28"/>
        </w:rPr>
        <w:t>）质量保证金及缴纳形式：</w:t>
      </w:r>
    </w:p>
    <w:p>
      <w:pPr>
        <w:ind w:firstLine="700" w:firstLineChars="250"/>
        <w:rPr>
          <w:color w:val="auto"/>
          <w:sz w:val="28"/>
        </w:rPr>
      </w:pPr>
      <w:r>
        <w:rPr>
          <w:rFonts w:hint="eastAsia"/>
          <w:color w:val="auto"/>
          <w:sz w:val="28"/>
        </w:rPr>
        <w:t>中标/成交供应商是否需要缴纳质量保证金：否</w:t>
      </w:r>
    </w:p>
    <w:p>
      <w:pPr>
        <w:ind w:firstLine="600" w:firstLineChars="250"/>
        <w:rPr>
          <w:color w:val="auto"/>
          <w:sz w:val="24"/>
        </w:rPr>
      </w:pP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合同支付约定</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付款</w:t>
      </w:r>
      <w:r>
        <w:rPr>
          <w:rFonts w:ascii="宋体" w:hAnsi="宋体" w:eastAsia="宋体" w:cs="宋体"/>
          <w:color w:val="auto"/>
          <w:kern w:val="0"/>
          <w:sz w:val="24"/>
          <w:szCs w:val="24"/>
        </w:rPr>
        <w:t>条件：</w:t>
      </w:r>
    </w:p>
    <w:p>
      <w:pPr>
        <w:pStyle w:val="5"/>
        <w:numPr>
          <w:ilvl w:val="0"/>
          <w:numId w:val="1"/>
        </w:numPr>
        <w:ind w:left="720" w:leftChars="0"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合同签订</w:t>
      </w:r>
    </w:p>
    <w:p>
      <w:pPr>
        <w:pStyle w:val="5"/>
        <w:numPr>
          <w:ilvl w:val="0"/>
          <w:numId w:val="1"/>
        </w:numPr>
        <w:ind w:left="720" w:leftChars="0" w:firstLine="0" w:firstLineChars="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履约完成</w:t>
      </w:r>
    </w:p>
    <w:p>
      <w:pPr>
        <w:widowControl/>
        <w:shd w:val="clear" w:color="auto" w:fill="FFFFFF"/>
        <w:spacing w:line="480" w:lineRule="auto"/>
        <w:ind w:firstLine="720" w:firstLineChars="300"/>
        <w:rPr>
          <w:rFonts w:ascii="宋体" w:hAnsi="宋体" w:eastAsia="宋体" w:cs="宋体"/>
          <w:color w:val="auto"/>
          <w:kern w:val="0"/>
          <w:sz w:val="24"/>
          <w:szCs w:val="24"/>
        </w:rPr>
      </w:pP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w:t>
      </w:r>
      <w:r>
        <w:rPr>
          <w:rFonts w:hint="eastAsia" w:ascii="宋体" w:hAnsi="宋体" w:eastAsia="宋体" w:cs="宋体"/>
          <w:color w:val="auto"/>
          <w:kern w:val="0"/>
          <w:sz w:val="24"/>
          <w:szCs w:val="24"/>
          <w:lang w:val="en-US" w:eastAsia="zh-CN"/>
        </w:rPr>
        <w:t>1</w:t>
      </w:r>
      <w:r>
        <w:rPr>
          <w:rFonts w:ascii="宋体" w:hAnsi="宋体" w:eastAsia="宋体" w:cs="宋体"/>
          <w:color w:val="auto"/>
          <w:kern w:val="0"/>
          <w:sz w:val="24"/>
          <w:szCs w:val="24"/>
        </w:rPr>
        <w:t>起</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50</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分期付款条件（如有）：</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w:t>
      </w:r>
      <w:r>
        <w:rPr>
          <w:rFonts w:hint="eastAsia" w:ascii="宋体" w:hAnsi="宋体" w:eastAsia="宋体" w:cs="宋体"/>
          <w:color w:val="auto"/>
          <w:kern w:val="0"/>
          <w:sz w:val="24"/>
          <w:szCs w:val="24"/>
          <w:lang w:val="en-US" w:eastAsia="zh-CN"/>
        </w:rPr>
        <w:t>2</w:t>
      </w:r>
      <w:r>
        <w:rPr>
          <w:rFonts w:ascii="宋体" w:hAnsi="宋体" w:eastAsia="宋体" w:cs="宋体"/>
          <w:color w:val="auto"/>
          <w:kern w:val="0"/>
          <w:sz w:val="24"/>
          <w:szCs w:val="24"/>
        </w:rPr>
        <w:t>起</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 xml:space="preserve"> 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50</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7</w:t>
      </w:r>
      <w:r>
        <w:rPr>
          <w:rFonts w:hint="eastAsia" w:ascii="宋体" w:hAnsi="宋体" w:eastAsia="宋体" w:cs="宋体"/>
          <w:color w:val="auto"/>
          <w:kern w:val="0"/>
          <w:sz w:val="24"/>
          <w:szCs w:val="24"/>
        </w:rPr>
        <w:t>）验收交付标准和方法：</w:t>
      </w:r>
    </w:p>
    <w:p>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本项目采购人及其委托的采购代理机构将依据合同条款、招标文件要求、投标文件响应及承诺内容，严格按照政府采购相关法律法规以及《财政部关于进一步加强政府采购需求和履约验收管理的指导意见》 （财库〔</w:t>
      </w:r>
      <w:r>
        <w:rPr>
          <w:rFonts w:hint="default" w:ascii="宋体" w:hAnsi="宋体" w:eastAsia="宋体" w:cs="宋体"/>
          <w:color w:val="auto"/>
          <w:kern w:val="0"/>
          <w:sz w:val="24"/>
          <w:szCs w:val="24"/>
          <w:lang w:val="en-US" w:eastAsia="zh-CN"/>
        </w:rPr>
        <w:t>2016</w:t>
      </w:r>
      <w:r>
        <w:rPr>
          <w:rFonts w:hint="eastAsia" w:ascii="宋体" w:hAnsi="宋体" w:eastAsia="宋体" w:cs="宋体"/>
          <w:color w:val="auto"/>
          <w:kern w:val="0"/>
          <w:sz w:val="24"/>
          <w:szCs w:val="24"/>
          <w:lang w:val="en-US" w:eastAsia="zh-CN"/>
        </w:rPr>
        <w:t>〕</w:t>
      </w:r>
      <w:r>
        <w:rPr>
          <w:rFonts w:hint="default" w:ascii="宋体" w:hAnsi="宋体" w:eastAsia="宋体" w:cs="宋体"/>
          <w:color w:val="auto"/>
          <w:kern w:val="0"/>
          <w:sz w:val="24"/>
          <w:szCs w:val="24"/>
          <w:lang w:val="en-US" w:eastAsia="zh-CN"/>
        </w:rPr>
        <w:t xml:space="preserve">205 </w:t>
      </w:r>
      <w:r>
        <w:rPr>
          <w:rFonts w:hint="eastAsia" w:ascii="宋体" w:hAnsi="宋体" w:eastAsia="宋体" w:cs="宋体"/>
          <w:color w:val="auto"/>
          <w:kern w:val="0"/>
          <w:sz w:val="24"/>
          <w:szCs w:val="24"/>
          <w:lang w:val="en-US" w:eastAsia="zh-CN"/>
        </w:rPr>
        <w:t xml:space="preserve">号）执行的要求进行验收。 </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）质量保修范围和保修期：</w:t>
      </w:r>
    </w:p>
    <w:p>
      <w:pPr>
        <w:widowControl/>
        <w:shd w:val="clear" w:color="auto" w:fill="FFFFFF"/>
        <w:spacing w:line="480" w:lineRule="auto"/>
        <w:ind w:firstLine="84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符合国家现行相关标准及行业标准</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）知识产权归属和处理方式：</w:t>
      </w:r>
    </w:p>
    <w:p>
      <w:pPr>
        <w:widowControl/>
        <w:shd w:val="clear" w:color="auto" w:fill="FFFFFF"/>
        <w:spacing w:line="480" w:lineRule="auto"/>
        <w:ind w:firstLine="84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符合国家现行相关标准及行业标准</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）成本补偿和风险分担约定：</w:t>
      </w:r>
    </w:p>
    <w:p>
      <w:pPr>
        <w:widowControl/>
        <w:shd w:val="clear" w:color="auto" w:fill="FFFFFF"/>
        <w:spacing w:line="480" w:lineRule="auto"/>
        <w:ind w:firstLine="84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符合国家现行相关标准及行业标准</w:t>
      </w:r>
    </w:p>
    <w:p>
      <w:pPr>
        <w:widowControl/>
        <w:shd w:val="clear" w:color="auto" w:fill="FFFFFF"/>
        <w:spacing w:line="480" w:lineRule="auto"/>
        <w:ind w:firstLine="840"/>
        <w:rPr>
          <w:rFonts w:hint="eastAsia" w:ascii="宋体" w:hAnsi="宋体" w:eastAsia="宋体" w:cs="宋体"/>
          <w:color w:val="auto"/>
          <w:kern w:val="0"/>
          <w:sz w:val="24"/>
          <w:szCs w:val="24"/>
          <w:lang w:val="en-US" w:eastAsia="zh-CN"/>
        </w:rPr>
      </w:pP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）违约责任与解决争议的方法：</w:t>
      </w:r>
    </w:p>
    <w:p>
      <w:pPr>
        <w:widowControl/>
        <w:shd w:val="clear" w:color="auto" w:fill="FFFFFF"/>
        <w:spacing w:line="480" w:lineRule="auto"/>
        <w:ind w:firstLine="84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协商</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）合同其他条款：</w:t>
      </w:r>
    </w:p>
    <w:p>
      <w:pPr>
        <w:widowControl/>
        <w:shd w:val="clear" w:color="auto" w:fill="FFFFFF"/>
        <w:spacing w:line="480" w:lineRule="auto"/>
        <w:ind w:firstLine="84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无</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9、履约验收方案</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1）验收组织方式：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自行验收   □委托第三方验收</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2）是否邀请本项目的其他供应商：是□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3）是否邀请专家：是□  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4）是否邀请服务对象：是□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5）是否邀请第三方检测机构：是□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6）履约验收程序：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一次性验收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分段/分期验收</w:t>
      </w:r>
    </w:p>
    <w:p>
      <w:pPr>
        <w:ind w:firstLine="840" w:firstLineChars="300"/>
        <w:rPr>
          <w:color w:val="auto"/>
          <w:sz w:val="28"/>
        </w:rPr>
      </w:pPr>
      <w:r>
        <w:rPr>
          <w:rFonts w:hint="eastAsia"/>
          <w:color w:val="auto"/>
          <w:sz w:val="28"/>
        </w:rPr>
        <w:t>7）履约验收时间：</w:t>
      </w:r>
    </w:p>
    <w:p>
      <w:pPr>
        <w:ind w:firstLine="600" w:firstLineChars="250"/>
        <w:rPr>
          <w:color w:val="auto"/>
          <w:sz w:val="28"/>
        </w:rPr>
      </w:pPr>
      <w:r>
        <w:rPr>
          <w:rFonts w:hint="eastAsia" w:ascii="宋体" w:hAnsi="宋体" w:eastAsia="宋体" w:cs="宋体"/>
          <w:color w:val="auto"/>
          <w:kern w:val="0"/>
          <w:sz w:val="24"/>
          <w:szCs w:val="24"/>
          <w:lang w:eastAsia="zh-CN"/>
        </w:rPr>
        <w:t>☑</w:t>
      </w:r>
      <w:r>
        <w:rPr>
          <w:rFonts w:hint="eastAsia"/>
          <w:color w:val="auto"/>
          <w:sz w:val="28"/>
        </w:rPr>
        <w:t>计划于</w:t>
      </w:r>
      <w:r>
        <w:rPr>
          <w:color w:val="auto"/>
          <w:sz w:val="28"/>
        </w:rPr>
        <w:t xml:space="preserve">      </w:t>
      </w:r>
      <w:r>
        <w:rPr>
          <w:rFonts w:hint="eastAsia"/>
          <w:color w:val="auto"/>
          <w:sz w:val="28"/>
        </w:rPr>
        <w:t>组织验收</w:t>
      </w:r>
    </w:p>
    <w:p>
      <w:pPr>
        <w:ind w:firstLine="600" w:firstLineChars="250"/>
        <w:rPr>
          <w:color w:val="auto"/>
          <w:sz w:val="28"/>
        </w:rPr>
      </w:pPr>
      <w:r>
        <w:rPr>
          <w:rFonts w:hint="eastAsia" w:ascii="宋体" w:hAnsi="宋体" w:eastAsia="宋体" w:cs="宋体"/>
          <w:color w:val="auto"/>
          <w:kern w:val="0"/>
          <w:sz w:val="24"/>
          <w:szCs w:val="24"/>
          <w:lang w:eastAsia="zh-CN"/>
        </w:rPr>
        <w:t>☑</w:t>
      </w:r>
      <w:r>
        <w:rPr>
          <w:rFonts w:hint="eastAsia"/>
          <w:color w:val="auto"/>
          <w:sz w:val="28"/>
        </w:rPr>
        <w:t>供应商提出验收申请之日起</w:t>
      </w:r>
      <w:r>
        <w:rPr>
          <w:color w:val="auto"/>
          <w:sz w:val="28"/>
        </w:rPr>
        <w:t xml:space="preserve"> </w:t>
      </w:r>
      <w:r>
        <w:rPr>
          <w:rFonts w:hint="eastAsia"/>
          <w:color w:val="auto"/>
          <w:sz w:val="28"/>
          <w:lang w:val="en-US" w:eastAsia="zh-CN"/>
        </w:rPr>
        <w:t>15</w:t>
      </w:r>
      <w:r>
        <w:rPr>
          <w:color w:val="auto"/>
          <w:sz w:val="28"/>
        </w:rPr>
        <w:t xml:space="preserve">  </w:t>
      </w:r>
      <w:r>
        <w:rPr>
          <w:rFonts w:hint="eastAsia"/>
          <w:color w:val="auto"/>
          <w:sz w:val="28"/>
        </w:rPr>
        <w:t>日内组织验收</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 xml:space="preserve">）验收组织的其他事项： </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）技术履约验收内容：</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）商务履约验收内容：</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）履约验收标准：</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）履约验收其他事项：</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五、风险控制措施和替代方案</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auto"/>
          <w:kern w:val="0"/>
          <w:sz w:val="24"/>
          <w:szCs w:val="24"/>
        </w:rPr>
        <w:t>信息</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1）国家政策变化风险的应对措施：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2）实施环境变化风险的应对措施：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3）重大技术变化风险的应对措施：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4）预算项目调整风险的应对措施：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5）因质疑投诉影响采购进度风险的应对措施：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6）采购失败风险的应对措施：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7）不按规定签订或者履行合同风险的应对措施：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8）出现损害国家利益和社会公共利益情形风险的应对措施：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9）其他采购和合同履行过程的风险及应对措施：</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项目负责人（签字）：</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项目单位负责人（签字）：</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经费主管部门负责人（签字）：　　　　　　　　　　　</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6000" w:firstLineChars="25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年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月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日</w:t>
      </w:r>
    </w:p>
    <w:p>
      <w:pPr>
        <w:rPr>
          <w:color w:val="auto"/>
        </w:rPr>
      </w:pPr>
    </w:p>
    <w:p>
      <w:pPr>
        <w:rPr>
          <w:color w:val="auto"/>
          <w:sz w:val="28"/>
        </w:rPr>
      </w:pPr>
      <w:r>
        <w:rPr>
          <w:rFonts w:hint="eastAsia"/>
          <w:color w:val="auto"/>
          <w:sz w:val="28"/>
        </w:rPr>
        <w:t>注意事项</w:t>
      </w:r>
      <w:r>
        <w:rPr>
          <w:color w:val="auto"/>
          <w:sz w:val="28"/>
        </w:rPr>
        <w:t>：</w:t>
      </w:r>
    </w:p>
    <w:p>
      <w:pPr>
        <w:rPr>
          <w:color w:val="auto"/>
          <w:sz w:val="28"/>
        </w:rPr>
      </w:pPr>
      <w:r>
        <w:rPr>
          <w:rFonts w:hint="eastAsia"/>
          <w:color w:val="auto"/>
          <w:sz w:val="28"/>
        </w:rPr>
        <w:t>1.采购项目预算大于50万元（含50万元）需提供采购单位确定需求的部（处）会议纪要或学院党政联席会议纪要。</w:t>
      </w:r>
    </w:p>
    <w:p>
      <w:pPr>
        <w:rPr>
          <w:color w:val="auto"/>
          <w:sz w:val="28"/>
        </w:rPr>
      </w:pPr>
      <w:r>
        <w:rPr>
          <w:rFonts w:hint="eastAsia"/>
          <w:color w:val="auto"/>
          <w:sz w:val="28"/>
        </w:rPr>
        <w:t>2.各单位政府采购</w:t>
      </w:r>
      <w:r>
        <w:rPr>
          <w:color w:val="auto"/>
          <w:sz w:val="28"/>
        </w:rPr>
        <w:t>项目</w:t>
      </w:r>
      <w:r>
        <w:rPr>
          <w:rFonts w:hint="eastAsia"/>
          <w:color w:val="auto"/>
          <w:sz w:val="28"/>
        </w:rPr>
        <w:t>的采购</w:t>
      </w:r>
      <w:r>
        <w:rPr>
          <w:color w:val="auto"/>
          <w:sz w:val="28"/>
        </w:rPr>
        <w:t>需求</w:t>
      </w:r>
      <w:r>
        <w:rPr>
          <w:rFonts w:hint="eastAsia"/>
          <w:color w:val="auto"/>
          <w:sz w:val="28"/>
        </w:rPr>
        <w:t>在部门（学院）</w:t>
      </w:r>
      <w:r>
        <w:rPr>
          <w:color w:val="auto"/>
          <w:sz w:val="28"/>
        </w:rPr>
        <w:t>网站</w:t>
      </w:r>
      <w:r>
        <w:rPr>
          <w:rFonts w:hint="eastAsia"/>
          <w:color w:val="auto"/>
          <w:sz w:val="28"/>
        </w:rPr>
        <w:t>首页公示不少于3天。公示</w:t>
      </w:r>
      <w:r>
        <w:rPr>
          <w:color w:val="auto"/>
          <w:sz w:val="28"/>
        </w:rPr>
        <w:t>期结束后</w:t>
      </w:r>
      <w:r>
        <w:rPr>
          <w:rFonts w:hint="eastAsia"/>
          <w:color w:val="auto"/>
          <w:sz w:val="28"/>
        </w:rPr>
        <w:t>将</w:t>
      </w:r>
      <w:r>
        <w:rPr>
          <w:color w:val="auto"/>
          <w:sz w:val="28"/>
        </w:rPr>
        <w:t>公</w:t>
      </w:r>
      <w:r>
        <w:rPr>
          <w:rFonts w:hint="eastAsia"/>
          <w:color w:val="auto"/>
          <w:sz w:val="28"/>
        </w:rPr>
        <w:t>示</w:t>
      </w:r>
      <w:r>
        <w:rPr>
          <w:color w:val="auto"/>
          <w:sz w:val="28"/>
        </w:rPr>
        <w:t>截图</w:t>
      </w:r>
      <w:r>
        <w:rPr>
          <w:rFonts w:hint="eastAsia"/>
          <w:color w:val="auto"/>
          <w:sz w:val="28"/>
        </w:rPr>
        <w:t>打印</w:t>
      </w:r>
      <w:r>
        <w:rPr>
          <w:color w:val="auto"/>
          <w:sz w:val="28"/>
        </w:rPr>
        <w:t>交国有资产与实验室管理处（</w:t>
      </w:r>
      <w:r>
        <w:rPr>
          <w:rFonts w:hint="eastAsia"/>
          <w:color w:val="auto"/>
          <w:sz w:val="28"/>
        </w:rPr>
        <w:t>招投标</w:t>
      </w:r>
      <w:r>
        <w:rPr>
          <w:color w:val="auto"/>
          <w:sz w:val="28"/>
        </w:rPr>
        <w:t>中心）</w:t>
      </w:r>
      <w:r>
        <w:rPr>
          <w:rFonts w:hint="eastAsia"/>
          <w:color w:val="auto"/>
          <w:sz w:val="28"/>
        </w:rPr>
        <w:t>，</w:t>
      </w:r>
      <w:r>
        <w:rPr>
          <w:color w:val="auto"/>
          <w:sz w:val="28"/>
        </w:rPr>
        <w:t>并</w:t>
      </w:r>
      <w:r>
        <w:rPr>
          <w:rFonts w:hint="eastAsia"/>
          <w:color w:val="auto"/>
          <w:sz w:val="28"/>
        </w:rPr>
        <w:t>标</w:t>
      </w:r>
      <w:r>
        <w:rPr>
          <w:color w:val="auto"/>
          <w:sz w:val="28"/>
        </w:rPr>
        <w:t>明公示期是否有异议</w:t>
      </w:r>
      <w:r>
        <w:rPr>
          <w:rFonts w:hint="eastAsia"/>
          <w:color w:val="auto"/>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70082F"/>
    <w:multiLevelType w:val="singleLevel"/>
    <w:tmpl w:val="7370082F"/>
    <w:lvl w:ilvl="0" w:tentative="0">
      <w:start w:val="1"/>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ZmU4ZTgzNTNlMmU3ODQ3N2FhZTRlNWNkNGY4NzQifQ=="/>
  </w:docVars>
  <w:rsids>
    <w:rsidRoot w:val="00283798"/>
    <w:rsid w:val="00010EFC"/>
    <w:rsid w:val="00042998"/>
    <w:rsid w:val="000470FC"/>
    <w:rsid w:val="00060343"/>
    <w:rsid w:val="000A232A"/>
    <w:rsid w:val="00186E4C"/>
    <w:rsid w:val="00211355"/>
    <w:rsid w:val="00226CED"/>
    <w:rsid w:val="002502DF"/>
    <w:rsid w:val="00283798"/>
    <w:rsid w:val="00321DC7"/>
    <w:rsid w:val="00334BD1"/>
    <w:rsid w:val="0035375B"/>
    <w:rsid w:val="00375C98"/>
    <w:rsid w:val="00420486"/>
    <w:rsid w:val="0044357E"/>
    <w:rsid w:val="00481673"/>
    <w:rsid w:val="005005DE"/>
    <w:rsid w:val="005054AE"/>
    <w:rsid w:val="0056230A"/>
    <w:rsid w:val="005E78B8"/>
    <w:rsid w:val="005E79E8"/>
    <w:rsid w:val="006269DA"/>
    <w:rsid w:val="006342A2"/>
    <w:rsid w:val="00694F1A"/>
    <w:rsid w:val="006F066B"/>
    <w:rsid w:val="006F3BE4"/>
    <w:rsid w:val="006F5DC0"/>
    <w:rsid w:val="00734F56"/>
    <w:rsid w:val="00761E5F"/>
    <w:rsid w:val="00764016"/>
    <w:rsid w:val="007B2A0D"/>
    <w:rsid w:val="007C25E0"/>
    <w:rsid w:val="007C632E"/>
    <w:rsid w:val="007D5516"/>
    <w:rsid w:val="007E3D67"/>
    <w:rsid w:val="00804CA5"/>
    <w:rsid w:val="00842391"/>
    <w:rsid w:val="0085483B"/>
    <w:rsid w:val="00861D71"/>
    <w:rsid w:val="008B2F67"/>
    <w:rsid w:val="00967EF2"/>
    <w:rsid w:val="009B4396"/>
    <w:rsid w:val="009C70BC"/>
    <w:rsid w:val="009D6C38"/>
    <w:rsid w:val="009E34C5"/>
    <w:rsid w:val="00A80DA9"/>
    <w:rsid w:val="00AA0F45"/>
    <w:rsid w:val="00AB037C"/>
    <w:rsid w:val="00B267AB"/>
    <w:rsid w:val="00C12962"/>
    <w:rsid w:val="00C23544"/>
    <w:rsid w:val="00C655D2"/>
    <w:rsid w:val="00CC0738"/>
    <w:rsid w:val="00CE0987"/>
    <w:rsid w:val="00D004BF"/>
    <w:rsid w:val="00D05B16"/>
    <w:rsid w:val="00DC32F1"/>
    <w:rsid w:val="00DF66B1"/>
    <w:rsid w:val="00E45D59"/>
    <w:rsid w:val="00E72FE3"/>
    <w:rsid w:val="00EA03B9"/>
    <w:rsid w:val="00EC4B2C"/>
    <w:rsid w:val="00F039EF"/>
    <w:rsid w:val="00F04A5D"/>
    <w:rsid w:val="00F2213D"/>
    <w:rsid w:val="00F26391"/>
    <w:rsid w:val="00FA296F"/>
    <w:rsid w:val="00FC2F27"/>
    <w:rsid w:val="099C3724"/>
    <w:rsid w:val="0D5F2303"/>
    <w:rsid w:val="13AB7C2F"/>
    <w:rsid w:val="14CD31AF"/>
    <w:rsid w:val="177A5532"/>
    <w:rsid w:val="1C38399F"/>
    <w:rsid w:val="1E5E342A"/>
    <w:rsid w:val="25924278"/>
    <w:rsid w:val="26B01BC8"/>
    <w:rsid w:val="2B817198"/>
    <w:rsid w:val="2FEC2CAF"/>
    <w:rsid w:val="33917869"/>
    <w:rsid w:val="377A1F6D"/>
    <w:rsid w:val="3AD34FAD"/>
    <w:rsid w:val="3D242527"/>
    <w:rsid w:val="3DCC18B6"/>
    <w:rsid w:val="42585666"/>
    <w:rsid w:val="472E36FE"/>
    <w:rsid w:val="53581ECC"/>
    <w:rsid w:val="5E514772"/>
    <w:rsid w:val="5EA03826"/>
    <w:rsid w:val="76821344"/>
    <w:rsid w:val="79332D05"/>
    <w:rsid w:val="7E8C4B13"/>
    <w:rsid w:val="7EB06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5"/>
    <w:basedOn w:val="1"/>
    <w:next w:val="1"/>
    <w:link w:val="17"/>
    <w:autoRedefine/>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semiHidden/>
    <w:unhideWhenUsed/>
    <w:qFormat/>
    <w:uiPriority w:val="99"/>
    <w:pPr>
      <w:spacing w:after="120" w:afterLines="0" w:afterAutospacing="0"/>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semiHidden/>
    <w:unhideWhenUsed/>
    <w:qFormat/>
    <w:uiPriority w:val="99"/>
    <w:rPr>
      <w:color w:val="0000FF"/>
      <w:u w:val="single"/>
    </w:rPr>
  </w:style>
  <w:style w:type="character" w:customStyle="1" w:styleId="13">
    <w:name w:val="页眉 Char"/>
    <w:basedOn w:val="11"/>
    <w:link w:val="7"/>
    <w:autoRedefine/>
    <w:qFormat/>
    <w:uiPriority w:val="99"/>
    <w:rPr>
      <w:sz w:val="18"/>
      <w:szCs w:val="18"/>
    </w:rPr>
  </w:style>
  <w:style w:type="character" w:customStyle="1" w:styleId="14">
    <w:name w:val="页脚 Char"/>
    <w:basedOn w:val="11"/>
    <w:link w:val="6"/>
    <w:autoRedefine/>
    <w:qFormat/>
    <w:uiPriority w:val="99"/>
    <w:rPr>
      <w:sz w:val="18"/>
      <w:szCs w:val="18"/>
    </w:rPr>
  </w:style>
  <w:style w:type="character" w:customStyle="1" w:styleId="15">
    <w:name w:val="标题 1 Char"/>
    <w:basedOn w:val="11"/>
    <w:link w:val="2"/>
    <w:autoRedefine/>
    <w:qFormat/>
    <w:uiPriority w:val="9"/>
    <w:rPr>
      <w:rFonts w:ascii="宋体" w:hAnsi="宋体" w:eastAsia="宋体" w:cs="宋体"/>
      <w:b/>
      <w:bCs/>
      <w:kern w:val="36"/>
      <w:sz w:val="48"/>
      <w:szCs w:val="48"/>
    </w:rPr>
  </w:style>
  <w:style w:type="character" w:customStyle="1" w:styleId="16">
    <w:name w:val="标题 3 Char"/>
    <w:basedOn w:val="11"/>
    <w:link w:val="3"/>
    <w:autoRedefine/>
    <w:qFormat/>
    <w:uiPriority w:val="9"/>
    <w:rPr>
      <w:rFonts w:ascii="宋体" w:hAnsi="宋体" w:eastAsia="宋体" w:cs="宋体"/>
      <w:b/>
      <w:bCs/>
      <w:kern w:val="0"/>
      <w:sz w:val="27"/>
      <w:szCs w:val="27"/>
    </w:rPr>
  </w:style>
  <w:style w:type="character" w:customStyle="1" w:styleId="17">
    <w:name w:val="标题 5 Char"/>
    <w:basedOn w:val="11"/>
    <w:link w:val="4"/>
    <w:autoRedefine/>
    <w:qFormat/>
    <w:uiPriority w:val="9"/>
    <w:rPr>
      <w:rFonts w:ascii="宋体" w:hAnsi="宋体" w:eastAsia="宋体" w:cs="宋体"/>
      <w:b/>
      <w:bCs/>
      <w:kern w:val="0"/>
      <w:sz w:val="20"/>
      <w:szCs w:val="20"/>
    </w:rPr>
  </w:style>
  <w:style w:type="character" w:customStyle="1" w:styleId="18">
    <w:name w:val="population-ceilingprice"/>
    <w:basedOn w:val="11"/>
    <w:qFormat/>
    <w:uiPriority w:val="0"/>
  </w:style>
  <w:style w:type="character" w:customStyle="1" w:styleId="19">
    <w:name w:val="population-projectoverview"/>
    <w:basedOn w:val="11"/>
    <w:autoRedefine/>
    <w:qFormat/>
    <w:uiPriority w:val="0"/>
  </w:style>
  <w:style w:type="character" w:customStyle="1" w:styleId="20">
    <w:name w:val="population-hassupplier"/>
    <w:basedOn w:val="11"/>
    <w:autoRedefine/>
    <w:qFormat/>
    <w:uiPriority w:val="0"/>
  </w:style>
  <w:style w:type="character" w:customStyle="1" w:styleId="21">
    <w:name w:val="investigation-researchstatus"/>
    <w:basedOn w:val="11"/>
    <w:qFormat/>
    <w:uiPriority w:val="0"/>
  </w:style>
  <w:style w:type="character" w:customStyle="1" w:styleId="22">
    <w:name w:val="implementation-kind"/>
    <w:basedOn w:val="11"/>
    <w:autoRedefine/>
    <w:qFormat/>
    <w:uiPriority w:val="0"/>
  </w:style>
  <w:style w:type="character" w:customStyle="1" w:styleId="23">
    <w:name w:val="implementation-purmethod"/>
    <w:basedOn w:val="11"/>
    <w:autoRedefine/>
    <w:qFormat/>
    <w:uiPriority w:val="0"/>
  </w:style>
  <w:style w:type="character" w:customStyle="1" w:styleId="24">
    <w:name w:val="implementation-subcontracttotal"/>
    <w:basedOn w:val="11"/>
    <w:autoRedefine/>
    <w:qFormat/>
    <w:uiPriority w:val="0"/>
  </w:style>
  <w:style w:type="character" w:customStyle="1" w:styleId="25">
    <w:name w:val="implementation-reservestatus"/>
    <w:basedOn w:val="11"/>
    <w:autoRedefine/>
    <w:qFormat/>
    <w:uiPriority w:val="0"/>
  </w:style>
  <w:style w:type="character" w:customStyle="1" w:styleId="26">
    <w:name w:val="implementation-govservice"/>
    <w:basedOn w:val="11"/>
    <w:autoRedefine/>
    <w:qFormat/>
    <w:uiPriority w:val="0"/>
  </w:style>
  <w:style w:type="character" w:customStyle="1" w:styleId="27">
    <w:name w:val="implementation-govinfomationstatus"/>
    <w:basedOn w:val="11"/>
    <w:autoRedefine/>
    <w:qFormat/>
    <w:uiPriority w:val="0"/>
  </w:style>
  <w:style w:type="character" w:customStyle="1" w:styleId="28">
    <w:name w:val="implementation-sciencestatus"/>
    <w:basedOn w:val="11"/>
    <w:autoRedefine/>
    <w:qFormat/>
    <w:uiPriority w:val="0"/>
  </w:style>
  <w:style w:type="character" w:customStyle="1" w:styleId="29">
    <w:name w:val="implementation-pppstatus"/>
    <w:basedOn w:val="11"/>
    <w:autoRedefine/>
    <w:qFormat/>
    <w:uiPriority w:val="0"/>
  </w:style>
  <w:style w:type="character" w:customStyle="1" w:styleId="30">
    <w:name w:val="subcontract-legalcontracttype"/>
    <w:basedOn w:val="11"/>
    <w:autoRedefine/>
    <w:qFormat/>
    <w:uiPriority w:val="0"/>
  </w:style>
  <w:style w:type="character" w:customStyle="1" w:styleId="31">
    <w:name w:val="subcontract-performperiod"/>
    <w:basedOn w:val="11"/>
    <w:autoRedefine/>
    <w:qFormat/>
    <w:uiPriority w:val="0"/>
  </w:style>
  <w:style w:type="character" w:customStyle="1" w:styleId="32">
    <w:name w:val="subcontract-performaddress"/>
    <w:basedOn w:val="11"/>
    <w:autoRedefine/>
    <w:qFormat/>
    <w:uiPriority w:val="0"/>
  </w:style>
  <w:style w:type="character" w:customStyle="1" w:styleId="33">
    <w:name w:val="subcontract-contractpaytype"/>
    <w:basedOn w:val="11"/>
    <w:autoRedefine/>
    <w:qFormat/>
    <w:uiPriority w:val="0"/>
  </w:style>
  <w:style w:type="character" w:customStyle="1" w:styleId="34">
    <w:name w:val="subcontract-deliverystandard"/>
    <w:basedOn w:val="11"/>
    <w:autoRedefine/>
    <w:qFormat/>
    <w:uiPriority w:val="0"/>
  </w:style>
  <w:style w:type="character" w:customStyle="1" w:styleId="35">
    <w:name w:val="subcontract-maintenance"/>
    <w:basedOn w:val="11"/>
    <w:autoRedefine/>
    <w:qFormat/>
    <w:uiPriority w:val="0"/>
  </w:style>
  <w:style w:type="character" w:customStyle="1" w:styleId="36">
    <w:name w:val="subcontract-intellectualproperty"/>
    <w:basedOn w:val="11"/>
    <w:autoRedefine/>
    <w:qFormat/>
    <w:uiPriority w:val="0"/>
  </w:style>
  <w:style w:type="character" w:customStyle="1" w:styleId="37">
    <w:name w:val="subcontract-risksharing"/>
    <w:basedOn w:val="11"/>
    <w:autoRedefine/>
    <w:qFormat/>
    <w:uiPriority w:val="0"/>
  </w:style>
  <w:style w:type="character" w:customStyle="1" w:styleId="38">
    <w:name w:val="subcontract-disputeresolution"/>
    <w:basedOn w:val="11"/>
    <w:autoRedefine/>
    <w:qFormat/>
    <w:uiPriority w:val="0"/>
  </w:style>
  <w:style w:type="character" w:customStyle="1" w:styleId="39">
    <w:name w:val="subcontract-otherterms"/>
    <w:basedOn w:val="11"/>
    <w:autoRedefine/>
    <w:qFormat/>
    <w:uiPriority w:val="0"/>
  </w:style>
  <w:style w:type="character" w:customStyle="1" w:styleId="40">
    <w:name w:val="subcontract-acceptancetype"/>
    <w:basedOn w:val="11"/>
    <w:autoRedefine/>
    <w:qFormat/>
    <w:uiPriority w:val="0"/>
  </w:style>
  <w:style w:type="character" w:customStyle="1" w:styleId="41">
    <w:name w:val="subcontract-invitesupplierstatus"/>
    <w:basedOn w:val="11"/>
    <w:autoRedefine/>
    <w:qFormat/>
    <w:uiPriority w:val="0"/>
  </w:style>
  <w:style w:type="character" w:customStyle="1" w:styleId="42">
    <w:name w:val="subcontract-inviteexpertstatus"/>
    <w:basedOn w:val="11"/>
    <w:autoRedefine/>
    <w:qFormat/>
    <w:uiPriority w:val="0"/>
  </w:style>
  <w:style w:type="character" w:customStyle="1" w:styleId="43">
    <w:name w:val="subcontract-inviteserviceobjectstatus"/>
    <w:basedOn w:val="11"/>
    <w:autoRedefine/>
    <w:qFormat/>
    <w:uiPriority w:val="0"/>
  </w:style>
  <w:style w:type="character" w:customStyle="1" w:styleId="44">
    <w:name w:val="subcontract-professionaldetectionstatus"/>
    <w:basedOn w:val="11"/>
    <w:autoRedefine/>
    <w:qFormat/>
    <w:uiPriority w:val="0"/>
  </w:style>
  <w:style w:type="character" w:customStyle="1" w:styleId="45">
    <w:name w:val="subcontract-acceptanceprocesstype"/>
    <w:basedOn w:val="11"/>
    <w:autoRedefine/>
    <w:qFormat/>
    <w:uiPriority w:val="0"/>
  </w:style>
  <w:style w:type="character" w:customStyle="1" w:styleId="46">
    <w:name w:val="subcontract-acceptancemethod"/>
    <w:basedOn w:val="11"/>
    <w:autoRedefine/>
    <w:qFormat/>
    <w:uiPriority w:val="0"/>
  </w:style>
  <w:style w:type="character" w:customStyle="1" w:styleId="47">
    <w:name w:val="subcontract-otherpreparations"/>
    <w:basedOn w:val="11"/>
    <w:autoRedefine/>
    <w:qFormat/>
    <w:uiPriority w:val="0"/>
  </w:style>
  <w:style w:type="character" w:customStyle="1" w:styleId="48">
    <w:name w:val="subcontract-goodscontent"/>
    <w:basedOn w:val="11"/>
    <w:autoRedefine/>
    <w:qFormat/>
    <w:uiPriority w:val="0"/>
  </w:style>
  <w:style w:type="character" w:customStyle="1" w:styleId="49">
    <w:name w:val="subcontract-businesscontent"/>
    <w:basedOn w:val="11"/>
    <w:autoRedefine/>
    <w:qFormat/>
    <w:uiPriority w:val="0"/>
  </w:style>
  <w:style w:type="character" w:customStyle="1" w:styleId="50">
    <w:name w:val="subcontract-acceptancecriteria"/>
    <w:basedOn w:val="11"/>
    <w:autoRedefine/>
    <w:qFormat/>
    <w:uiPriority w:val="0"/>
  </w:style>
  <w:style w:type="character" w:customStyle="1" w:styleId="51">
    <w:name w:val="subcontract-othercontent"/>
    <w:basedOn w:val="11"/>
    <w:autoRedefine/>
    <w:qFormat/>
    <w:uiPriority w:val="0"/>
  </w:style>
  <w:style w:type="character" w:customStyle="1" w:styleId="52">
    <w:name w:val="risk-riskresponse"/>
    <w:basedOn w:val="11"/>
    <w:autoRedefine/>
    <w:qFormat/>
    <w:uiPriority w:val="0"/>
  </w:style>
  <w:style w:type="paragraph" w:styleId="5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7857</Words>
  <Characters>8071</Characters>
  <Lines>37</Lines>
  <Paragraphs>10</Paragraphs>
  <TotalTime>7</TotalTime>
  <ScaleCrop>false</ScaleCrop>
  <LinksUpToDate>false</LinksUpToDate>
  <CharactersWithSpaces>8355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2022-04-22T02:57:00Z</dcterms:created>
  <dc:creator>张灵峻</dc:creator>
  <cp:lastModifiedBy>吴丹</cp:lastModifiedBy>
  <dcterms:modified xsi:type="dcterms:W3CDTF">2024-03-18T02:30:30Z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eyJoZGlkIjoiOTJjNGI3YWNmOTRjNWY2OGE0NDdlOTFkYjQxYWIwYjMifQ==</vt:lpwstr>
  </property>
  <property fmtid="{D5CDD505-2E9C-101B-9397-08002B2CF9AE}" pid="3" name="KSOProductBuildVer">
    <vt:lpwstr>2052-12.1.0.16120</vt:lpwstr>
  </property>
  <property fmtid="{D5CDD505-2E9C-101B-9397-08002B2CF9AE}" pid="4" name="ICV">
    <vt:lpwstr>33D5DCDFD6474FE0B8D1D187FA3326B7_13</vt:lpwstr>
  </property>
</Properties>
</file>